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普法宣传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项目支出绩效评价报告</w:t>
      </w:r>
    </w:p>
    <w:p>
      <w:pPr>
        <w:widowControl/>
        <w:spacing w:line="600" w:lineRule="exact"/>
        <w:jc w:val="left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市财政局：</w:t>
      </w:r>
    </w:p>
    <w:p>
      <w:pPr>
        <w:pStyle w:val="3"/>
        <w:spacing w:line="600" w:lineRule="exact"/>
        <w:ind w:left="0" w:leftChars="0" w:firstLine="640" w:firstLineChars="200"/>
      </w:pPr>
      <w:r>
        <w:rPr>
          <w:rFonts w:hint="eastAsia" w:ascii="仿宋_GB2312" w:hAnsi="仿宋_GB2312" w:cs="仿宋_GB2312"/>
          <w:bCs/>
          <w:szCs w:val="32"/>
        </w:rPr>
        <w:t>现将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普法宣传</w:t>
      </w:r>
      <w:r>
        <w:rPr>
          <w:rFonts w:hint="eastAsia" w:ascii="仿宋_GB2312" w:hAnsi="仿宋_GB2312" w:cs="仿宋_GB2312"/>
          <w:bCs/>
          <w:szCs w:val="32"/>
        </w:rPr>
        <w:t>项目支出绩效评价报告如下：</w:t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val="en-US" w:eastAsia="zh-CN"/>
        </w:rPr>
        <w:t>普法宣传</w:t>
      </w:r>
      <w:r>
        <w:rPr>
          <w:rFonts w:hint="eastAsia" w:ascii="黑体" w:hAnsi="黑体" w:eastAsia="黑体"/>
          <w:szCs w:val="32"/>
        </w:rPr>
        <w:t>项目基本情况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（一）项目概况。</w:t>
      </w:r>
    </w:p>
    <w:p>
      <w:pPr>
        <w:spacing w:line="600" w:lineRule="exact"/>
        <w:ind w:firstLine="643" w:firstLineChars="200"/>
        <w:rPr>
          <w:rFonts w:hint="eastAsia" w:ascii="仿宋_GB2312" w:hAnsi="仿宋_GB2312" w:cs="仿宋_GB2312"/>
          <w:b/>
          <w:bCs/>
          <w:color w:val="000000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Cs w:val="32"/>
        </w:rPr>
        <w:t>1.项目背景。</w:t>
      </w:r>
      <w:r>
        <w:rPr>
          <w:rFonts w:hint="eastAsia" w:ascii="仿宋_GB2312" w:hAnsi="仿宋_GB2312" w:cs="仿宋_GB2312"/>
          <w:b w:val="0"/>
          <w:bCs w:val="0"/>
          <w:color w:val="000000"/>
          <w:szCs w:val="32"/>
        </w:rPr>
        <w:t>法治宣传教育是全面推进依法治国的长期性、基础性工作，为了增强全市公民的法律素养，推进法治淮南建设，必须深入开展集中普法教育与日常普法教育的结合，普及教育与重点对象教育相结合，法治宣传与法治实践相结合，开展系统的法治宣传教育活动。</w:t>
      </w:r>
    </w:p>
    <w:p>
      <w:pPr>
        <w:spacing w:line="600" w:lineRule="exact"/>
        <w:ind w:firstLine="643" w:firstLineChars="20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Cs w:val="32"/>
        </w:rPr>
        <w:t>2.主要内容。</w:t>
      </w:r>
      <w:r>
        <w:rPr>
          <w:rFonts w:hint="eastAsia" w:ascii="仿宋_GB2312" w:hAnsi="仿宋_GB2312" w:cs="仿宋_GB2312"/>
          <w:color w:val="000000"/>
          <w:szCs w:val="32"/>
        </w:rPr>
        <w:t>市法治宣传教育工作领导小组办公室设在市司法局，负责全市法治宣传教育和法治城市创建活动的组织、协调、监督、检查等工作。全年项目组织开展“江淮普法行”、“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Cs w:val="32"/>
        </w:rPr>
        <w:t>12·4”国家宪法日及宪法宣传周大型法治宣传教育系列活动；维护运营法治文化阵地、公园、场馆；组织开展法治文化产品研发、新媒体普法；开展普法志愿者、普法骨干等队伍培训；组织开展全市“法律七进”活动；开展民主法治示范村（社区）等法治创建活动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Cs w:val="32"/>
        </w:rPr>
        <w:t>3.资金投入和使用情况。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本年财政拨款资金投入78万元，使用情况具体为</w:t>
      </w:r>
      <w:r>
        <w:rPr>
          <w:rFonts w:hint="eastAsia" w:ascii="仿宋_GB2312" w:hAnsi="仿宋_GB2312" w:cs="仿宋_GB2312"/>
          <w:szCs w:val="32"/>
        </w:rPr>
        <w:t>普法骨干普法培训班、法律明白人、民主法治示范村培训等各类法治培训6万；八五讲师团、普法志愿者等队伍建设9万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Cs w:val="32"/>
        </w:rPr>
        <w:t>“12·4”</w:t>
      </w:r>
      <w:r>
        <w:rPr>
          <w:rFonts w:hint="eastAsia" w:ascii="仿宋_GB2312" w:hAnsi="仿宋_GB2312" w:cs="仿宋_GB2312"/>
          <w:szCs w:val="32"/>
          <w:lang w:eastAsia="zh-CN"/>
        </w:rPr>
        <w:t>国家宪法日</w:t>
      </w:r>
      <w:r>
        <w:rPr>
          <w:rFonts w:hint="eastAsia" w:ascii="仿宋_GB2312" w:hAnsi="仿宋_GB2312" w:cs="仿宋_GB2312"/>
          <w:szCs w:val="32"/>
        </w:rPr>
        <w:t>宪法宣传周等节点宣传活动20万；新媒体普法建设20万；推进社会主义法治文化建设5万；开展法治创建活动8万；更新维护法治阵地建设8万；开展普法责任评估2万。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（二）项目绩效目标。包括总体目标和阶段性目标。</w:t>
      </w:r>
    </w:p>
    <w:p>
      <w:pPr>
        <w:spacing w:line="600" w:lineRule="exact"/>
        <w:ind w:firstLine="643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1.总体目标。</w:t>
      </w:r>
      <w:r>
        <w:rPr>
          <w:rFonts w:hint="eastAsia" w:ascii="仿宋_GB2312" w:hAnsi="仿宋_GB2312" w:cs="仿宋_GB2312"/>
          <w:szCs w:val="32"/>
        </w:rPr>
        <w:t>2024年全市要坚持以习近平新时代中国特色社会主义思想为指导，深入学习宣传贯彻习近平法治思想，全面贯彻落实党的二十大会议精神，坚持党的全面领导，坚持以人民为中心，坚持围绕中心、服务大局，坚持稳字当头、稳中求进工作总基调，弘扬伟大建党精神，紧紧围绕宣传、贯彻党的二十大这条主线，深入推进“八五”普法规划和决议贯彻落实，聚焦服务大局和群众期盼，深入推进全民守法，加大全民普法力度，加强基层依法治理，扎实推进社会主义法治文化建设，以高质量普法服务高质量发展，为建设新阶段现代化美好淮南营造良好法治环境。</w:t>
      </w:r>
    </w:p>
    <w:p>
      <w:pPr>
        <w:spacing w:line="600" w:lineRule="exact"/>
        <w:ind w:firstLine="643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2.阶段性目标。</w:t>
      </w:r>
      <w:r>
        <w:rPr>
          <w:rFonts w:hint="eastAsia" w:ascii="仿宋_GB2312" w:hAnsi="仿宋_GB2312" w:cs="仿宋_GB2312"/>
          <w:szCs w:val="32"/>
        </w:rPr>
        <w:t>根据全省统一安排，组织开展“江淮普法行”“12</w:t>
      </w:r>
      <w:r>
        <w:rPr>
          <w:rFonts w:hint="eastAsia" w:ascii="仿宋_GB2312" w:hAnsi="仿宋_GB2312" w:cs="仿宋_GB2312"/>
          <w:szCs w:val="32"/>
          <w:lang w:val="en-US" w:eastAsia="zh-CN"/>
        </w:rPr>
        <w:t>·</w:t>
      </w:r>
      <w:r>
        <w:rPr>
          <w:rFonts w:hint="eastAsia" w:ascii="仿宋_GB2312" w:hAnsi="仿宋_GB2312" w:cs="仿宋_GB2312"/>
          <w:szCs w:val="32"/>
        </w:rPr>
        <w:t>4”等宪法宣传周法治宣传教育活动，营造全社会尊法、学法、守法、用法的法治氛围；运用新媒体、开展法治文化建设，深入推进“法律进机关、进乡村、进社区、进学校、进企业、进单位、进家庭”等，“法律七进”活动，进一步扩大领导干部、青少年、企业经营管理人员、农民等重点普法对象的学法覆盖面，潜移默化地提升公民法律素养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Cs w:val="32"/>
        </w:rPr>
        <w:tab/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二、绩效评价工作开展情况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（一）绩效评价目的、对象和范围。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评价</w:t>
      </w:r>
      <w:r>
        <w:rPr>
          <w:rFonts w:hint="eastAsia" w:ascii="仿宋_GB2312" w:hAnsi="仿宋_GB2312" w:cs="仿宋_GB2312"/>
          <w:szCs w:val="32"/>
          <w:lang w:val="en-US" w:eastAsia="zh-CN"/>
        </w:rPr>
        <w:t>普法宣传</w:t>
      </w:r>
      <w:r>
        <w:rPr>
          <w:rFonts w:hint="eastAsia" w:ascii="仿宋_GB2312" w:hAnsi="仿宋_GB2312" w:cs="仿宋_GB2312"/>
          <w:szCs w:val="32"/>
        </w:rPr>
        <w:t>项目对全民普法</w:t>
      </w:r>
      <w:r>
        <w:rPr>
          <w:rFonts w:hint="eastAsia" w:ascii="仿宋_GB2312" w:hAnsi="仿宋_GB2312" w:cs="仿宋_GB2312"/>
          <w:szCs w:val="32"/>
          <w:lang w:val="en-US" w:eastAsia="zh-CN"/>
        </w:rPr>
        <w:t>以及</w:t>
      </w:r>
      <w:r>
        <w:rPr>
          <w:rFonts w:hint="eastAsia" w:ascii="仿宋_GB2312" w:hAnsi="仿宋_GB2312" w:cs="仿宋_GB2312"/>
          <w:szCs w:val="32"/>
        </w:rPr>
        <w:t>法治文化建设的作用，对象为项目参与者及社会公众，范围包括项目实施及效果。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（二）绩效评价原则、评价指标体系（附表说明）、评价方法、评价标准等。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评价遵循客观、公正、科学原则，指标体系包括</w:t>
      </w:r>
      <w:r>
        <w:rPr>
          <w:rFonts w:hint="eastAsia" w:ascii="仿宋_GB2312" w:hAnsi="仿宋_GB2312" w:cs="仿宋_GB2312"/>
          <w:szCs w:val="32"/>
          <w:lang w:val="en-US" w:eastAsia="zh-CN"/>
        </w:rPr>
        <w:t>普法宣传项目开展</w:t>
      </w:r>
      <w:r>
        <w:rPr>
          <w:rFonts w:hint="eastAsia" w:ascii="仿宋_GB2312" w:hAnsi="仿宋_GB2312" w:cs="仿宋_GB2312"/>
          <w:szCs w:val="32"/>
        </w:rPr>
        <w:t>情况、参与活动等，评价方法多元化，标准明确。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绩效评价工作过程。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评价工作分阶段进行，包括数据收集、分析、报告撰写等环节，确保评价全面准确。</w:t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三、综合评价情况及评价结论（附相关评分表）</w:t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已完成。深入学习宣传贯彻习近平法治思想，高质量落实落实“八五”普法规划，开展“八五”普法规划实施中期评估验收，持续开展宪法、民法典和党内法规宣传教育，落实普法责任制推动执法、司法和法律服务过程中实时普法，开展国家工作人员旁听庭审、领导干部宪法法律知识考试，青少年法治宣传教育活动，大力推进农村“法律明白人”培养工程，加强法治文化阵地建设，紧紧围绕市委市政府工作大局，围绕人民群众关心关注的问题开展普法依法治理工作。</w:t>
      </w:r>
      <w:r>
        <w:rPr>
          <w:rFonts w:hint="eastAsia" w:ascii="黑体" w:hAnsi="黑体" w:eastAsia="黑体"/>
          <w:szCs w:val="32"/>
        </w:rPr>
        <w:t>四、绩效评价指标分析（可附表进行分析）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（一）项目决策情况。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项目决策合理，符合全市人民群众</w:t>
      </w:r>
      <w:r>
        <w:rPr>
          <w:rFonts w:hint="eastAsia" w:ascii="仿宋_GB2312" w:hAnsi="仿宋_GB2312" w:cs="仿宋_GB2312"/>
          <w:szCs w:val="32"/>
          <w:lang w:val="en-US" w:eastAsia="zh-CN"/>
        </w:rPr>
        <w:t>接受普法教育的</w:t>
      </w:r>
      <w:r>
        <w:rPr>
          <w:rFonts w:hint="eastAsia" w:ascii="仿宋_GB2312" w:hAnsi="仿宋_GB2312" w:cs="仿宋_GB2312"/>
          <w:szCs w:val="32"/>
        </w:rPr>
        <w:t>需求，满足各行业各领域</w:t>
      </w:r>
      <w:r>
        <w:rPr>
          <w:rFonts w:hint="eastAsia" w:ascii="仿宋_GB2312" w:hAnsi="仿宋_GB2312" w:cs="仿宋_GB2312"/>
          <w:szCs w:val="32"/>
          <w:lang w:val="en-US" w:eastAsia="zh-CN"/>
        </w:rPr>
        <w:t>接受</w:t>
      </w:r>
      <w:r>
        <w:rPr>
          <w:rFonts w:hint="eastAsia" w:ascii="仿宋_GB2312" w:hAnsi="仿宋_GB2312" w:cs="仿宋_GB2312"/>
          <w:szCs w:val="32"/>
        </w:rPr>
        <w:t>法治宣传教育</w:t>
      </w:r>
      <w:r>
        <w:rPr>
          <w:rFonts w:hint="eastAsia" w:ascii="仿宋_GB2312" w:hAnsi="仿宋_GB2312" w:cs="仿宋_GB2312"/>
          <w:szCs w:val="32"/>
          <w:lang w:val="en-US" w:eastAsia="zh-CN"/>
        </w:rPr>
        <w:t>的需要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（二）项目过程情况。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项目过程实施有序，各项工作顺利有效推进实施。</w:t>
      </w:r>
    </w:p>
    <w:p>
      <w:pPr>
        <w:spacing w:line="600" w:lineRule="exact"/>
        <w:ind w:firstLine="640" w:firstLineChars="200"/>
        <w:rPr>
          <w:rFonts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</w:rPr>
        <w:t>（三）项目产出情况。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项目产出有效，通过扎实推进全市法治文化阵地建设，为全市积极营造尊法学法守法用法的良好社会氛围，发挥</w:t>
      </w:r>
      <w:r>
        <w:rPr>
          <w:rFonts w:hint="eastAsia" w:ascii="仿宋_GB2312" w:hAnsi="仿宋_GB2312" w:cs="仿宋_GB2312"/>
          <w:szCs w:val="32"/>
          <w:lang w:val="en-US" w:eastAsia="zh-CN"/>
        </w:rPr>
        <w:t>法治宣传教育</w:t>
      </w:r>
      <w:r>
        <w:rPr>
          <w:rFonts w:hint="eastAsia" w:ascii="仿宋_GB2312" w:hAnsi="仿宋_GB2312" w:cs="仿宋_GB2312"/>
          <w:szCs w:val="32"/>
        </w:rPr>
        <w:t>作用。</w:t>
      </w:r>
    </w:p>
    <w:p>
      <w:pPr>
        <w:spacing w:line="600" w:lineRule="exact"/>
        <w:ind w:firstLine="640" w:firstLineChars="200"/>
        <w:rPr>
          <w:rFonts w:hint="eastAsia" w:ascii="方正公文楷体" w:hAnsi="方正公文楷体" w:eastAsia="方正公文楷体" w:cs="方正公文楷体"/>
          <w:szCs w:val="32"/>
        </w:rPr>
      </w:pPr>
      <w:r>
        <w:rPr>
          <w:rFonts w:hint="eastAsia" w:ascii="方正公文楷体" w:hAnsi="方正公文楷体" w:eastAsia="方正公文楷体" w:cs="方正公文楷体"/>
          <w:szCs w:val="32"/>
          <w:lang w:eastAsia="zh-CN"/>
        </w:rPr>
        <w:t>（</w:t>
      </w:r>
      <w:r>
        <w:rPr>
          <w:rFonts w:hint="eastAsia" w:ascii="方正公文楷体" w:hAnsi="方正公文楷体" w:eastAsia="方正公文楷体" w:cs="方正公文楷体"/>
          <w:szCs w:val="32"/>
          <w:lang w:val="en-US" w:eastAsia="zh-CN"/>
        </w:rPr>
        <w:t>四</w:t>
      </w:r>
      <w:r>
        <w:rPr>
          <w:rFonts w:hint="eastAsia" w:ascii="方正公文楷体" w:hAnsi="方正公文楷体" w:eastAsia="方正公文楷体" w:cs="方正公文楷体"/>
          <w:szCs w:val="32"/>
          <w:lang w:eastAsia="zh-CN"/>
        </w:rPr>
        <w:t>）</w:t>
      </w:r>
      <w:r>
        <w:rPr>
          <w:rFonts w:hint="eastAsia" w:ascii="方正公文楷体" w:hAnsi="方正公文楷体" w:eastAsia="方正公文楷体" w:cs="方正公文楷体"/>
          <w:szCs w:val="32"/>
        </w:rPr>
        <w:t>项目效益情况。</w:t>
      </w:r>
    </w:p>
    <w:p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Cs w:val="32"/>
        </w:rPr>
      </w:pPr>
      <w:r>
        <w:rPr>
          <w:rFonts w:hint="eastAsia" w:ascii="方正仿宋_GB2312" w:hAnsi="方正仿宋_GB2312" w:eastAsia="方正仿宋_GB2312" w:cs="方正仿宋_GB2312"/>
          <w:szCs w:val="32"/>
        </w:rPr>
        <w:t>项目效益显著，</w:t>
      </w:r>
      <w:r>
        <w:rPr>
          <w:rFonts w:hint="eastAsia" w:ascii="方正仿宋_GB2312" w:hAnsi="方正仿宋_GB2312" w:eastAsia="方正仿宋_GB2312" w:cs="方正仿宋_GB231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zCs w:val="32"/>
        </w:rPr>
        <w:t>全民</w:t>
      </w:r>
      <w:r>
        <w:rPr>
          <w:rFonts w:hint="eastAsia" w:ascii="方正仿宋_GB2312" w:hAnsi="方正仿宋_GB2312" w:eastAsia="方正仿宋_GB2312" w:cs="方正仿宋_GB2312"/>
          <w:szCs w:val="32"/>
          <w:lang w:val="en-US" w:eastAsia="zh-CN"/>
        </w:rPr>
        <w:t>尊</w:t>
      </w:r>
      <w:r>
        <w:rPr>
          <w:rFonts w:hint="eastAsia" w:ascii="方正仿宋_GB2312" w:hAnsi="方正仿宋_GB2312" w:eastAsia="方正仿宋_GB2312" w:cs="方正仿宋_GB2312"/>
          <w:szCs w:val="32"/>
        </w:rPr>
        <w:t>法学法守法用法以及</w:t>
      </w:r>
      <w:r>
        <w:rPr>
          <w:rFonts w:hint="eastAsia" w:ascii="仿宋_GB2312" w:hAnsi="仿宋_GB2312" w:cs="仿宋_GB2312"/>
          <w:b w:val="0"/>
          <w:bCs w:val="0"/>
          <w:color w:val="000000"/>
          <w:szCs w:val="32"/>
        </w:rPr>
        <w:t>全市公民的法律素养</w:t>
      </w:r>
      <w:r>
        <w:rPr>
          <w:rFonts w:hint="eastAsia" w:ascii="方正仿宋_GB2312" w:hAnsi="方正仿宋_GB2312" w:eastAsia="方正仿宋_GB2312" w:cs="方正仿宋_GB2312"/>
          <w:szCs w:val="32"/>
        </w:rPr>
        <w:t>具有明显的促进作用，</w:t>
      </w:r>
      <w:r>
        <w:rPr>
          <w:rFonts w:hint="eastAsia" w:ascii="方正仿宋_GB2312" w:hAnsi="方正仿宋_GB2312" w:eastAsia="方正仿宋_GB2312" w:cs="方正仿宋_GB2312"/>
          <w:szCs w:val="32"/>
          <w:lang w:val="en-US" w:eastAsia="zh-CN"/>
        </w:rPr>
        <w:t>对</w:t>
      </w:r>
      <w:r>
        <w:rPr>
          <w:rFonts w:hint="eastAsia" w:ascii="仿宋_GB2312" w:hAnsi="仿宋_GB2312" w:cs="仿宋_GB2312"/>
          <w:b w:val="0"/>
          <w:bCs w:val="0"/>
          <w:color w:val="000000"/>
          <w:szCs w:val="32"/>
        </w:rPr>
        <w:t>推进法治淮南建设</w:t>
      </w:r>
      <w:r>
        <w:rPr>
          <w:rFonts w:hint="eastAsia" w:ascii="仿宋_GB2312" w:hAnsi="仿宋_GB2312" w:cs="仿宋_GB2312"/>
          <w:b w:val="0"/>
          <w:bCs w:val="0"/>
          <w:color w:val="000000"/>
          <w:szCs w:val="32"/>
          <w:lang w:val="en-US" w:eastAsia="zh-CN"/>
        </w:rPr>
        <w:t>具有重要的</w:t>
      </w:r>
      <w:r>
        <w:rPr>
          <w:rFonts w:hint="eastAsia" w:ascii="方正仿宋_GB2312" w:hAnsi="方正仿宋_GB2312" w:eastAsia="方正仿宋_GB2312" w:cs="方正仿宋_GB2312"/>
          <w:szCs w:val="32"/>
        </w:rPr>
        <w:t>推动</w:t>
      </w:r>
      <w:r>
        <w:rPr>
          <w:rFonts w:hint="eastAsia" w:ascii="方正仿宋_GB2312" w:hAnsi="方正仿宋_GB2312" w:eastAsia="方正仿宋_GB2312" w:cs="方正仿宋_GB2312"/>
          <w:szCs w:val="32"/>
          <w:lang w:val="en-US" w:eastAsia="zh-CN"/>
        </w:rPr>
        <w:t>作用。法治宣传教育工作实效性进一步增强，依法治理逐步深化，全民法治观念明显增强，全社会厉行法治的积极性和主动性明显提高，守法光荣、违法可耻的社会氛围基本形成。</w:t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五、主要经验及做法</w:t>
      </w:r>
    </w:p>
    <w:p>
      <w:pPr>
        <w:spacing w:line="600" w:lineRule="exact"/>
        <w:ind w:firstLine="63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我市2024年法治宣传工作成绩突出，紧盯“关键少数”，落实《淮南市人民政府学法制度》，2024年市政府党组会、理论学习中心组学习会、政府常务会议开展学法27次。连续8年会同市委组织部编印《淮南市“一月一法”学法手册》，以“自主学”“集中学”“授课学”方式落实领导干部应知应会法律法规规章清单制度。市委党校把习近平法治思想、宪法法律纳入主体班必修课、学员自学重点书目，通过专题面授、视频教学等多种形式培训学员429人。市委组织部带队巡考“12·4”国家宪法日副县级领导干部宪法法律知识测试抽考现场。组织开展国家工作人员旁听庭审活动78场次，3500余人参加旁听，有力提升依法决策、依法履职、依法行政能力。加强青少年法治宣传教育，全市707名法治副校长走进568 所学校开展“开学法治第一课”“法治同行 守护成长”“法润少年心 守护‘未’蓝天空”等进校园普法专项活动800余场次。全市13个校内（外）青少年法治文化基地、20个法治教育资源教室，组织中小学师生开展生动法治实践近百余场。“心‘淮'法治，‘剧'说未来”淮南市举办2024年青少年法治情景剧大赛，用学生们听得懂的语言、接地气的方式，让青少年法治活动“剧”精彩！“蓝·天使”检察工作室城乡牵手“淮小童”周末玩趣营，“庭审现场”变“普法课堂”，普法志愿者们创新各类生动有趣的普法项目，让“沉浸式”的法治教育深入童心。淮南师范学院组织师生录制《宪法伴我们成长》主题MV，线上观看人数1万余人，唱响宪法主旋律。制定《全市推进“乡村振兴 精准普法”工程实施方案》，明确三大提升目标，明确具体举措，以满足群众法律需求为导向，从解决专业化人才供给、基层普法队伍保障、充实社会化普法力量等多方面，将法治专业人才向基层一线倾斜，高标准、多元化、全方位提升基层普法队伍专业素质。</w:t>
      </w:r>
    </w:p>
    <w:p>
      <w:pPr>
        <w:spacing w:line="600" w:lineRule="exact"/>
        <w:ind w:firstLine="63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坚持挖掘与创造，全力做好省级法治文化联系点工作，持续推动“豆娃说法”全国法治文化品牌，创造性转化、创新性发展。2024年立足法治文化创作“小切口”，从优化法治化营商环境“政务服务、贷款办理、公平竞争“入手，创作《豆娃说法之优化营商环境条例》，让法治文化与社会经济发展共融。项目化运作“1+X”动漫研发，创作《豆娃说法之未成年人网络保护条例》、《互联网信息服务深度合成管理规定》法治动漫，《关键信息基础设施安全保护条例》《网络信息内容生态治理规定》H5等豆娃网络普法系列作品。精心创作“豆娃说法”30个专属普法系列表情包上线全网，更多“接地气”“有意思”的“指尖普法”让普法更“有趣”。将法治文化阵地建设的触角向社区、乡村延伸，向规模化、阵地化发展，打造以田家庵区田东街道田电社区“豆娃说法”游园、寿县安丰塘镇大树村、寿蜀产业园、八公山乡大泉村为代表的新一批“文法交融”法治文化健身园、法治文化广场等宣传阵地。将法治文化阵地建设的触角向社区、乡村延伸，向规模化、阵地化发展，打造以田家庵区田东街道田电社区“豆娃说法”游园、寿县安丰塘镇大树村、寿蜀产业园、八公山乡大泉村为代表的新一批“文法交融”法治文化健身园、法治文化广场等宣传阵地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/>
          <w:szCs w:val="32"/>
        </w:rPr>
        <w:t>存在问题及原因分析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  <w:r>
        <w:rPr>
          <w:rFonts w:hint="eastAsia" w:ascii="仿宋_GB2312" w:hAnsi="仿宋_GB2312" w:cs="仿宋_GB2312"/>
          <w:szCs w:val="32"/>
          <w:lang w:val="en-US" w:eastAsia="zh-CN"/>
        </w:rPr>
        <w:t>存在</w:t>
      </w:r>
      <w:r>
        <w:rPr>
          <w:rFonts w:hint="eastAsia" w:ascii="仿宋_GB2312" w:hAnsi="仿宋_GB2312" w:cs="仿宋_GB2312"/>
          <w:szCs w:val="32"/>
        </w:rPr>
        <w:t>“关键少数”“重点人群”法治能力素养有待提升</w:t>
      </w:r>
      <w:r>
        <w:rPr>
          <w:rFonts w:hint="eastAsia" w:ascii="仿宋_GB2312" w:hAnsi="仿宋_GB2312" w:cs="仿宋_GB2312"/>
          <w:szCs w:val="32"/>
          <w:lang w:val="en-US" w:eastAsia="zh-CN"/>
        </w:rPr>
        <w:t>的问题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Cs w:val="32"/>
        </w:rPr>
        <w:t>原因分析</w:t>
      </w:r>
      <w:r>
        <w:rPr>
          <w:rFonts w:hint="eastAsia" w:ascii="仿宋_GB2312" w:hAnsi="仿宋_GB2312" w:cs="仿宋_GB231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szCs w:val="32"/>
        </w:rPr>
        <w:t>对重点人群的法治需求调研不</w:t>
      </w:r>
      <w:r>
        <w:rPr>
          <w:rFonts w:hint="eastAsia" w:ascii="仿宋_GB2312" w:hAnsi="仿宋_GB2312" w:cs="仿宋_GB2312"/>
          <w:szCs w:val="32"/>
          <w:lang w:val="en-US" w:eastAsia="zh-CN"/>
        </w:rPr>
        <w:t>够</w:t>
      </w:r>
      <w:r>
        <w:rPr>
          <w:rFonts w:hint="eastAsia" w:ascii="仿宋_GB2312" w:hAnsi="仿宋_GB2312" w:cs="仿宋_GB2312"/>
          <w:szCs w:val="32"/>
        </w:rPr>
        <w:t>深入，</w:t>
      </w:r>
      <w:r>
        <w:rPr>
          <w:rFonts w:hint="eastAsia" w:ascii="仿宋_GB2312" w:hAnsi="仿宋_GB2312" w:cs="仿宋_GB2312"/>
          <w:szCs w:val="32"/>
          <w:lang w:val="en-US" w:eastAsia="zh-CN"/>
        </w:rPr>
        <w:t>难以</w:t>
      </w:r>
      <w:r>
        <w:rPr>
          <w:rFonts w:hint="eastAsia" w:ascii="仿宋_GB2312" w:hAnsi="仿宋_GB2312" w:cs="仿宋_GB2312"/>
          <w:szCs w:val="32"/>
        </w:rPr>
        <w:t>形成分层分类的精准</w:t>
      </w:r>
      <w:r>
        <w:rPr>
          <w:rFonts w:hint="eastAsia" w:ascii="仿宋_GB2312" w:hAnsi="仿宋_GB2312" w:cs="仿宋_GB2312"/>
          <w:szCs w:val="32"/>
          <w:lang w:val="en-US" w:eastAsia="zh-CN"/>
        </w:rPr>
        <w:t>培训</w:t>
      </w:r>
      <w:r>
        <w:rPr>
          <w:rFonts w:hint="eastAsia" w:ascii="仿宋_GB2312" w:hAnsi="仿宋_GB2312" w:cs="仿宋_GB2312"/>
          <w:szCs w:val="32"/>
        </w:rPr>
        <w:t>方案。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2.</w:t>
      </w:r>
      <w:r>
        <w:rPr>
          <w:rFonts w:hint="eastAsia" w:ascii="仿宋_GB2312" w:hAnsi="仿宋_GB2312" w:cs="仿宋_GB2312"/>
          <w:szCs w:val="32"/>
          <w:lang w:val="en-US" w:eastAsia="zh-CN"/>
        </w:rPr>
        <w:t>存在</w:t>
      </w:r>
      <w:r>
        <w:rPr>
          <w:rFonts w:hint="eastAsia" w:ascii="仿宋_GB2312" w:hAnsi="仿宋_GB2312" w:cs="仿宋_GB2312"/>
          <w:szCs w:val="32"/>
        </w:rPr>
        <w:t>法律七进普法宣传活动开展不均衡</w:t>
      </w:r>
      <w:r>
        <w:rPr>
          <w:rFonts w:hint="eastAsia" w:ascii="仿宋_GB2312" w:hAnsi="仿宋_GB2312" w:cs="仿宋_GB2312"/>
          <w:szCs w:val="32"/>
          <w:lang w:val="en-US" w:eastAsia="zh-CN"/>
        </w:rPr>
        <w:t>的问题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  <w:r>
        <w:rPr>
          <w:rFonts w:hint="eastAsia" w:ascii="仿宋_GB2312" w:hAnsi="仿宋_GB2312" w:cs="仿宋_GB2312"/>
          <w:szCs w:val="32"/>
          <w:lang w:val="en-US" w:eastAsia="zh-CN"/>
        </w:rPr>
        <w:t>原因分析为普法效果评估机制存在不足，对不同群体的法治需求研究力度不足。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</w:t>
      </w:r>
      <w:r>
        <w:rPr>
          <w:rFonts w:hint="eastAsia" w:ascii="仿宋_GB2312" w:hAnsi="仿宋_GB2312" w:cs="仿宋_GB2312"/>
          <w:szCs w:val="32"/>
          <w:lang w:val="en-US" w:eastAsia="zh-CN"/>
        </w:rPr>
        <w:t>存在</w:t>
      </w:r>
      <w:r>
        <w:rPr>
          <w:rFonts w:hint="eastAsia" w:ascii="仿宋_GB2312" w:hAnsi="仿宋_GB2312" w:cs="仿宋_GB2312"/>
          <w:szCs w:val="32"/>
        </w:rPr>
        <w:t>智慧普法</w:t>
      </w:r>
      <w:r>
        <w:rPr>
          <w:rFonts w:hint="eastAsia" w:ascii="仿宋_GB2312" w:hAnsi="仿宋_GB2312" w:cs="仿宋_GB2312"/>
          <w:szCs w:val="32"/>
          <w:lang w:val="en-US" w:eastAsia="zh-CN"/>
        </w:rPr>
        <w:t>投入</w:t>
      </w:r>
      <w:r>
        <w:rPr>
          <w:rFonts w:hint="eastAsia" w:ascii="仿宋_GB2312" w:hAnsi="仿宋_GB2312" w:cs="仿宋_GB2312"/>
          <w:szCs w:val="32"/>
        </w:rPr>
        <w:t>不足，每年需用于运营、创作、使用法治宣传费逐年提升</w:t>
      </w:r>
      <w:r>
        <w:rPr>
          <w:rFonts w:hint="eastAsia" w:ascii="仿宋_GB2312" w:hAnsi="仿宋_GB2312" w:cs="仿宋_GB2312"/>
          <w:szCs w:val="32"/>
          <w:lang w:val="en-US" w:eastAsia="zh-CN"/>
        </w:rPr>
        <w:t>的问题</w:t>
      </w:r>
      <w:r>
        <w:rPr>
          <w:rFonts w:hint="eastAsia" w:ascii="仿宋_GB2312" w:hAnsi="仿宋_GB2312" w:cs="仿宋_GB2312"/>
          <w:szCs w:val="32"/>
        </w:rPr>
        <w:t>；</w:t>
      </w:r>
      <w:r>
        <w:rPr>
          <w:rFonts w:hint="eastAsia" w:ascii="仿宋_GB2312" w:hAnsi="仿宋_GB2312" w:cs="仿宋_GB2312"/>
          <w:szCs w:val="32"/>
          <w:lang w:val="en-US" w:eastAsia="zh-CN"/>
        </w:rPr>
        <w:t>原因分析为</w:t>
      </w:r>
      <w:r>
        <w:rPr>
          <w:rFonts w:hint="eastAsia" w:ascii="仿宋_GB2312" w:hAnsi="仿宋_GB2312" w:cs="仿宋_GB2312"/>
          <w:szCs w:val="32"/>
        </w:rPr>
        <w:t>智慧普法专项经费资金配置与使用效率不高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4.存在法治教育基地建设资金明显不足的问题；原因分析为现有部分法治教育基地设施较为陈旧，更新迭代缓慢。</w:t>
      </w:r>
    </w:p>
    <w:p>
      <w:p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七、有关建议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一是紧盯</w:t>
      </w:r>
      <w:r>
        <w:rPr>
          <w:rFonts w:hint="eastAsia" w:ascii="仿宋_GB2312" w:hAnsi="仿宋_GB2312" w:cs="仿宋_GB2312"/>
          <w:szCs w:val="32"/>
        </w:rPr>
        <w:t>“关键少数”“重点人群”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持续强化国家工作人员法治化水平；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二是</w:t>
      </w:r>
      <w:r>
        <w:rPr>
          <w:rFonts w:hint="eastAsia" w:ascii="仿宋_GB2312" w:hAnsi="仿宋_GB2312" w:cs="仿宋_GB2312"/>
          <w:szCs w:val="32"/>
        </w:rPr>
        <w:t xml:space="preserve">加大宣传力度，做好全市普法依法治理工作； </w:t>
      </w:r>
    </w:p>
    <w:p>
      <w:pPr>
        <w:pStyle w:val="3"/>
        <w:spacing w:after="0" w:line="600" w:lineRule="exact"/>
        <w:ind w:left="0" w:leftChars="0"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三是</w:t>
      </w:r>
      <w:r>
        <w:rPr>
          <w:rFonts w:hint="eastAsia" w:ascii="仿宋_GB2312" w:hAnsi="仿宋_GB2312" w:cs="仿宋_GB2312"/>
          <w:szCs w:val="32"/>
        </w:rPr>
        <w:t>加大智慧普法</w:t>
      </w:r>
      <w:r>
        <w:rPr>
          <w:rFonts w:hint="eastAsia" w:ascii="仿宋_GB2312" w:hAnsi="仿宋_GB2312" w:cs="仿宋_GB2312"/>
          <w:szCs w:val="32"/>
          <w:lang w:val="en-US" w:eastAsia="zh-CN"/>
        </w:rPr>
        <w:t>投入力度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合理安排用</w:t>
      </w:r>
      <w:r>
        <w:rPr>
          <w:rFonts w:hint="eastAsia" w:ascii="仿宋_GB2312" w:hAnsi="仿宋_GB2312" w:cs="仿宋_GB2312"/>
          <w:szCs w:val="32"/>
        </w:rPr>
        <w:t>于运营、创作、法治宣传</w:t>
      </w:r>
      <w:r>
        <w:rPr>
          <w:rFonts w:hint="eastAsia" w:ascii="仿宋_GB2312" w:hAnsi="仿宋_GB2312" w:cs="仿宋_GB2312"/>
          <w:szCs w:val="32"/>
          <w:lang w:val="en-US" w:eastAsia="zh-CN"/>
        </w:rPr>
        <w:t>的各项经费</w:t>
      </w:r>
      <w:r>
        <w:rPr>
          <w:rFonts w:hint="eastAsia" w:ascii="仿宋_GB2312" w:hAnsi="仿宋_GB2312" w:cs="仿宋_GB2312"/>
          <w:szCs w:val="32"/>
        </w:rPr>
        <w:t>；</w:t>
      </w:r>
    </w:p>
    <w:p>
      <w:pPr>
        <w:pStyle w:val="3"/>
        <w:spacing w:after="0" w:line="600" w:lineRule="exact"/>
        <w:ind w:left="0" w:leftChars="0" w:firstLine="640" w:firstLineChars="200"/>
      </w:pPr>
      <w:r>
        <w:rPr>
          <w:rFonts w:hint="eastAsia" w:ascii="仿宋_GB2312" w:hAnsi="仿宋_GB2312" w:cs="仿宋_GB2312"/>
          <w:szCs w:val="32"/>
          <w:lang w:val="en-US" w:eastAsia="zh-CN"/>
        </w:rPr>
        <w:t>四是加大</w:t>
      </w:r>
      <w:r>
        <w:rPr>
          <w:rFonts w:hint="eastAsia" w:ascii="仿宋_GB2312" w:hAnsi="仿宋_GB2312" w:cs="仿宋_GB2312"/>
          <w:szCs w:val="32"/>
        </w:rPr>
        <w:t>法治教育基地建设资金</w:t>
      </w:r>
      <w:r>
        <w:rPr>
          <w:rFonts w:hint="eastAsia" w:ascii="仿宋_GB2312" w:hAnsi="仿宋_GB2312" w:cs="仿宋_GB2312"/>
          <w:szCs w:val="32"/>
          <w:lang w:val="en-US" w:eastAsia="zh-CN"/>
        </w:rPr>
        <w:t>投入力度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其他需要说明的问题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cs="仿宋_GB2312"/>
          <w:szCs w:val="32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楷体">
    <w:altName w:val="方正楷体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7173E"/>
    <w:multiLevelType w:val="singleLevel"/>
    <w:tmpl w:val="FAD7173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7B111B"/>
    <w:multiLevelType w:val="singleLevel"/>
    <w:tmpl w:val="777B11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WJkZDk1OGMxYjdkMmFhOTBkYWE5NzRlMTg3ZTEifQ=="/>
  </w:docVars>
  <w:rsids>
    <w:rsidRoot w:val="62A945D3"/>
    <w:rsid w:val="001E5155"/>
    <w:rsid w:val="007817B5"/>
    <w:rsid w:val="00DC4FDB"/>
    <w:rsid w:val="00E05888"/>
    <w:rsid w:val="019555FA"/>
    <w:rsid w:val="02F70D3E"/>
    <w:rsid w:val="04B0485B"/>
    <w:rsid w:val="07506C6F"/>
    <w:rsid w:val="09356913"/>
    <w:rsid w:val="0A3561A3"/>
    <w:rsid w:val="0AE20526"/>
    <w:rsid w:val="0BFB0716"/>
    <w:rsid w:val="0C9D2956"/>
    <w:rsid w:val="0D5D5C42"/>
    <w:rsid w:val="0F4515E9"/>
    <w:rsid w:val="11020FDA"/>
    <w:rsid w:val="12BC340B"/>
    <w:rsid w:val="15A703A2"/>
    <w:rsid w:val="15A946F2"/>
    <w:rsid w:val="163D4862"/>
    <w:rsid w:val="16641682"/>
    <w:rsid w:val="18185587"/>
    <w:rsid w:val="1CE43C8A"/>
    <w:rsid w:val="1CEB3178"/>
    <w:rsid w:val="1E4F15D7"/>
    <w:rsid w:val="1F845C8A"/>
    <w:rsid w:val="21E64000"/>
    <w:rsid w:val="22A16179"/>
    <w:rsid w:val="22CA76A3"/>
    <w:rsid w:val="240B2444"/>
    <w:rsid w:val="267E514F"/>
    <w:rsid w:val="270311B0"/>
    <w:rsid w:val="28862099"/>
    <w:rsid w:val="28F45255"/>
    <w:rsid w:val="2A1B0BED"/>
    <w:rsid w:val="2BCF3D57"/>
    <w:rsid w:val="2E460B66"/>
    <w:rsid w:val="33925D96"/>
    <w:rsid w:val="35305866"/>
    <w:rsid w:val="36E92932"/>
    <w:rsid w:val="376B702A"/>
    <w:rsid w:val="382316B2"/>
    <w:rsid w:val="38BB1A12"/>
    <w:rsid w:val="3B3B4F65"/>
    <w:rsid w:val="3BB70A8F"/>
    <w:rsid w:val="3F1B30E3"/>
    <w:rsid w:val="3F6179A8"/>
    <w:rsid w:val="3F710BC5"/>
    <w:rsid w:val="414032D5"/>
    <w:rsid w:val="42F8373B"/>
    <w:rsid w:val="43266B0A"/>
    <w:rsid w:val="438020AF"/>
    <w:rsid w:val="44010195"/>
    <w:rsid w:val="4473751E"/>
    <w:rsid w:val="469B4A83"/>
    <w:rsid w:val="47A3636C"/>
    <w:rsid w:val="4AA157F8"/>
    <w:rsid w:val="4B3774F7"/>
    <w:rsid w:val="4B663938"/>
    <w:rsid w:val="4BB603B0"/>
    <w:rsid w:val="4CC34DBA"/>
    <w:rsid w:val="52F45CCD"/>
    <w:rsid w:val="53DD0E57"/>
    <w:rsid w:val="54212AF2"/>
    <w:rsid w:val="545D78A2"/>
    <w:rsid w:val="55A27C63"/>
    <w:rsid w:val="588B2C30"/>
    <w:rsid w:val="59047E6B"/>
    <w:rsid w:val="5A81078E"/>
    <w:rsid w:val="5CA1419D"/>
    <w:rsid w:val="5CDA0D5C"/>
    <w:rsid w:val="5DA12EF6"/>
    <w:rsid w:val="5DD24E5D"/>
    <w:rsid w:val="5F7F2DC3"/>
    <w:rsid w:val="5FDB2F35"/>
    <w:rsid w:val="60C34F31"/>
    <w:rsid w:val="62600C89"/>
    <w:rsid w:val="62A768B8"/>
    <w:rsid w:val="62A945D3"/>
    <w:rsid w:val="62B1036B"/>
    <w:rsid w:val="63512C8F"/>
    <w:rsid w:val="64C9520C"/>
    <w:rsid w:val="693C3AD3"/>
    <w:rsid w:val="69FB573C"/>
    <w:rsid w:val="6AF40B09"/>
    <w:rsid w:val="6F164DA9"/>
    <w:rsid w:val="716F2C97"/>
    <w:rsid w:val="72295B67"/>
    <w:rsid w:val="72B862CF"/>
    <w:rsid w:val="79B323B0"/>
    <w:rsid w:val="7A936257"/>
    <w:rsid w:val="7AAD65DE"/>
    <w:rsid w:val="7BE97AEA"/>
    <w:rsid w:val="7D056BA5"/>
    <w:rsid w:val="7D553689"/>
    <w:rsid w:val="7E4028A1"/>
    <w:rsid w:val="E7E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12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页眉 Char"/>
    <w:basedOn w:val="9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3380</Words>
  <Characters>3431</Characters>
  <Lines>125</Lines>
  <Paragraphs>35</Paragraphs>
  <TotalTime>7</TotalTime>
  <ScaleCrop>false</ScaleCrop>
  <LinksUpToDate>false</LinksUpToDate>
  <CharactersWithSpaces>3437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2024-07-25T09:15:00Z</dcterms:created>
  <dc:creator>雨萌</dc:creator>
  <cp:lastModifiedBy>HNSW</cp:lastModifiedBy>
  <dcterms:modified xsi:type="dcterms:W3CDTF">2025-10-09T11:38:42Z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98F2AA7E26A04B4BBD112BC53C93E833_13</vt:lpwstr>
  </property>
  <property fmtid="{D5CDD505-2E9C-101B-9397-08002B2CF9AE}" pid="4" name="KSOTemplateDocerSaveRecord">
    <vt:lpwstr>eyJoZGlkIjoiNTA2MjQ3NzBhMDc1NGY3ZWIzOWRjMjFlMWIyNGQ0NTQifQ==</vt:lpwstr>
  </property>
</Properties>
</file>