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FDA08">
      <w:pPr>
        <w:widowControl/>
        <w:spacing w:line="700" w:lineRule="exact"/>
        <w:jc w:val="center"/>
        <w:rPr>
          <w:rFonts w:ascii="方正小标宋简体" w:hAnsi="黑体" w:eastAsia="方正小标宋简体" w:cs="黑体"/>
          <w:kern w:val="0"/>
          <w:sz w:val="44"/>
          <w:szCs w:val="44"/>
        </w:rPr>
      </w:pPr>
    </w:p>
    <w:p w14:paraId="4FF9333C">
      <w:pPr>
        <w:widowControl/>
        <w:spacing w:line="70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kern w:val="0"/>
          <w:sz w:val="44"/>
          <w:szCs w:val="44"/>
          <w:lang w:val="en-US" w:eastAsia="zh-CN"/>
        </w:rPr>
        <w:t>普法宣传</w:t>
      </w:r>
      <w:r>
        <w:rPr>
          <w:rFonts w:hint="eastAsia" w:ascii="方正小标宋简体" w:hAnsi="黑体" w:eastAsia="方正小标宋简体" w:cs="黑体"/>
          <w:kern w:val="0"/>
          <w:sz w:val="44"/>
          <w:szCs w:val="44"/>
        </w:rPr>
        <w:t>项目支出绩效评价报告</w:t>
      </w:r>
    </w:p>
    <w:p w14:paraId="50A34FEF">
      <w:pPr>
        <w:widowControl/>
        <w:spacing w:line="700" w:lineRule="exact"/>
        <w:jc w:val="center"/>
        <w:rPr>
          <w:rFonts w:hint="eastAsia" w:ascii="方正小标宋简体" w:hAnsi="黑体" w:eastAsia="方正小标宋简体" w:cs="黑体"/>
          <w:kern w:val="0"/>
          <w:sz w:val="44"/>
          <w:szCs w:val="44"/>
        </w:rPr>
      </w:pPr>
    </w:p>
    <w:p w14:paraId="6300FE27">
      <w:pPr>
        <w:ind w:firstLine="640" w:firstLineChars="200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  <w:lang w:val="en-US" w:eastAsia="zh-CN"/>
        </w:rPr>
        <w:t>普法宣传</w:t>
      </w:r>
      <w:r>
        <w:rPr>
          <w:rFonts w:hint="eastAsia" w:ascii="黑体" w:hAnsi="黑体" w:eastAsia="黑体"/>
          <w:szCs w:val="32"/>
        </w:rPr>
        <w:t>项目基本情况</w:t>
      </w:r>
    </w:p>
    <w:p w14:paraId="1BEB3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（一）项目概况。</w:t>
      </w:r>
    </w:p>
    <w:p w14:paraId="1B626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1.项目背景。</w:t>
      </w:r>
      <w:r>
        <w:rPr>
          <w:rFonts w:hint="eastAsia" w:ascii="仿宋_GB2312" w:hAnsi="仿宋_GB2312" w:cs="仿宋_GB2312"/>
          <w:color w:val="000000"/>
          <w:szCs w:val="32"/>
        </w:rPr>
        <w:t>法治宣传教育是全面推进依法治国的长期性、基础性工作，为了增强全市公民的法律素养，推进法治淮南建设，必须深入开展集中普法教育与日常普法教育的结合，普及教育与重点对象教育相结合，法治宣传与法治实践相结合，开展系统的法治宣传教育活动。</w:t>
      </w:r>
    </w:p>
    <w:p w14:paraId="5E70C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cs="仿宋_GB2312"/>
          <w:b w:val="0"/>
          <w:bCs w:val="0"/>
          <w:color w:val="000000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2.主要内容。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市法治宣传教育工作领导小组办公室设在市司法局，负责全市法治宣传教育和法治城市创建活动的组织、协调、监督、检查等工作。全年项目组织开展“江淮普法行”、“12·4”国家宪法日及宪法宣传周大型法治宣传教育系列活动；举办普法骨</w:t>
      </w:r>
      <w:bookmarkStart w:id="0" w:name="_GoBack"/>
      <w:bookmarkEnd w:id="0"/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干普法培训班、法律明白人、民主法治示范村培训等；加强讲师团、普法志愿者等队伍建设；开展“法律七进”活动；加强新媒体普法、媒体法治类宣传；打造法治阵地建设；开展法治创建活动。</w:t>
      </w:r>
    </w:p>
    <w:p w14:paraId="23B74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szCs w:val="32"/>
        </w:rPr>
        <w:t>3.资金投入和使用情况。</w:t>
      </w:r>
      <w:r>
        <w:rPr>
          <w:rFonts w:hint="eastAsia" w:ascii="仿宋_GB2312" w:hAnsi="仿宋_GB2312" w:cs="仿宋_GB2312"/>
          <w:color w:val="000000"/>
          <w:szCs w:val="32"/>
          <w:lang w:val="en-US" w:eastAsia="zh-CN"/>
        </w:rPr>
        <w:t>本年财政拨款资金投入78万元，使用情况具体为</w:t>
      </w:r>
      <w:r>
        <w:rPr>
          <w:rFonts w:hint="eastAsia" w:ascii="仿宋_GB2312" w:hAnsi="仿宋_GB2312" w:cs="仿宋_GB2312"/>
          <w:szCs w:val="32"/>
        </w:rPr>
        <w:t>“江淮普法行”“民法典宣传月”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“12·4”国家宪法日及宪法宣传周</w:t>
      </w:r>
      <w:r>
        <w:rPr>
          <w:rFonts w:hint="eastAsia" w:ascii="仿宋_GB2312" w:hAnsi="仿宋_GB2312" w:cs="仿宋_GB2312"/>
          <w:szCs w:val="32"/>
        </w:rPr>
        <w:t>等活动6万；普法骨干普法培训班、法律明白人、民主法治示范村培训等6万；讲师团、普法志愿者等队伍9万；“法律七进”活动14万；新媒体普法、媒体法治类宣传运营15万；法治阵地建设8万；社会主义法治文化6万；“江淮普法行”活动7万；普法责任制落实、第三方评估2万；法治创建活动5万；</w:t>
      </w:r>
    </w:p>
    <w:p w14:paraId="2F3ED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（二）项目绩效目标。包括总体目标和阶段性目标。</w:t>
      </w:r>
    </w:p>
    <w:p w14:paraId="5979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cs="仿宋_GB2312"/>
          <w:b w:val="0"/>
          <w:bCs w:val="0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1.总体目标。</w:t>
      </w:r>
      <w:r>
        <w:rPr>
          <w:rFonts w:hint="eastAsia" w:ascii="仿宋_GB2312" w:hAnsi="仿宋_GB2312" w:cs="仿宋_GB2312"/>
          <w:b w:val="0"/>
          <w:bCs w:val="0"/>
          <w:szCs w:val="32"/>
        </w:rPr>
        <w:t>坚持以习近平新时代中国特色社会主义思想为指导，全面贯彻党的二十大和二十届三中全会精神，学习贯彻习近平法治思想和习近平总书记考察安徽重要讲话精神，坚持围绕中心、服务大局，改进法治宣传教育，推动法治宣传教育服务保障统筹推进“四项工作”，加大全民普法工作力度，以做好“八五”普法收官和“九五”普法谋划为主线，重点加强社会主义法治文化建设和主题普法工作，推动高质量完成“八五”普法规划目标任务，为谱写中国式现代化淮南篇章营造良好法治环境。</w:t>
      </w:r>
    </w:p>
    <w:p w14:paraId="633E9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b/>
          <w:bCs/>
          <w:szCs w:val="32"/>
        </w:rPr>
        <w:t>2.阶段性目标。</w:t>
      </w:r>
      <w:r>
        <w:rPr>
          <w:rFonts w:hint="eastAsia" w:ascii="仿宋_GB2312" w:hAnsi="仿宋_GB2312" w:cs="仿宋_GB2312"/>
          <w:szCs w:val="32"/>
        </w:rPr>
        <w:t>根据全省统一安排，组织开展“江淮普法行”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</w:rPr>
        <w:t>“12·4”国家宪法日及宪法宣传周</w:t>
      </w:r>
      <w:r>
        <w:rPr>
          <w:rFonts w:hint="eastAsia" w:ascii="仿宋_GB2312" w:hAnsi="仿宋_GB2312" w:cs="仿宋_GB2312"/>
          <w:b w:val="0"/>
          <w:bCs w:val="0"/>
          <w:color w:val="000000"/>
          <w:szCs w:val="32"/>
          <w:lang w:val="en-US" w:eastAsia="zh-CN"/>
        </w:rPr>
        <w:t>等</w:t>
      </w:r>
      <w:r>
        <w:rPr>
          <w:rFonts w:hint="eastAsia" w:ascii="仿宋_GB2312" w:hAnsi="仿宋_GB2312" w:cs="仿宋_GB2312"/>
          <w:szCs w:val="32"/>
        </w:rPr>
        <w:t>法治宣传教育活动，营造全社会尊法、学法、守法、用法的法治氛围；运用新媒体、开展法治文化建设，深入推进“法律进机关、进乡村、进社区、进学校、进企业、进单位、进家庭”等，“法律七进”活动，进一步扩大领导干部、青少年、企业经营管理人员、农民等重点普法对象的学法覆盖面，潜移默化地提升公民法律素养</w:t>
      </w:r>
      <w:r>
        <w:rPr>
          <w:rFonts w:hint="eastAsia" w:ascii="仿宋_GB2312" w:hAnsi="仿宋_GB2312" w:cs="仿宋_GB2312"/>
          <w:szCs w:val="32"/>
          <w:lang w:eastAsia="zh-CN"/>
        </w:rPr>
        <w:t>。</w:t>
      </w:r>
    </w:p>
    <w:p w14:paraId="4DDCA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ab/>
      </w:r>
    </w:p>
    <w:p w14:paraId="1C32D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ab/>
      </w:r>
    </w:p>
    <w:p w14:paraId="48670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二、绩效评价工作开展情况</w:t>
      </w:r>
    </w:p>
    <w:p w14:paraId="3EC0A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（一）绩效评价目的、对象和范围。</w:t>
      </w:r>
    </w:p>
    <w:p w14:paraId="2790B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</w:t>
      </w:r>
      <w:r>
        <w:rPr>
          <w:rFonts w:hint="eastAsia" w:ascii="仿宋_GB2312" w:hAnsi="仿宋_GB2312" w:cs="仿宋_GB2312"/>
          <w:szCs w:val="32"/>
          <w:lang w:val="en-US" w:eastAsia="zh-CN"/>
        </w:rPr>
        <w:t>普法宣传</w:t>
      </w:r>
      <w:r>
        <w:rPr>
          <w:rFonts w:hint="eastAsia" w:ascii="仿宋_GB2312" w:hAnsi="仿宋_GB2312" w:cs="仿宋_GB2312"/>
          <w:szCs w:val="32"/>
        </w:rPr>
        <w:t>项目对全民普法</w:t>
      </w:r>
      <w:r>
        <w:rPr>
          <w:rFonts w:hint="eastAsia" w:ascii="仿宋_GB2312" w:hAnsi="仿宋_GB2312" w:cs="仿宋_GB2312"/>
          <w:szCs w:val="32"/>
          <w:lang w:val="en-US" w:eastAsia="zh-CN"/>
        </w:rPr>
        <w:t>以及</w:t>
      </w:r>
      <w:r>
        <w:rPr>
          <w:rFonts w:hint="eastAsia" w:ascii="仿宋_GB2312" w:hAnsi="仿宋_GB2312" w:cs="仿宋_GB2312"/>
          <w:szCs w:val="32"/>
        </w:rPr>
        <w:t>法治文化建设的作用，对象为项目参与者及社会公众，范围包括项目实施及效果。</w:t>
      </w:r>
    </w:p>
    <w:p w14:paraId="68ECC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（二）绩效评价原则、评价指标体系（附表说明）、评价方法、评价标准等。</w:t>
      </w:r>
    </w:p>
    <w:p w14:paraId="038BC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评价遵循客观、公正、科学原则，指标体系包括</w:t>
      </w:r>
      <w:r>
        <w:rPr>
          <w:rFonts w:hint="eastAsia" w:ascii="仿宋_GB2312" w:hAnsi="仿宋_GB2312" w:cs="仿宋_GB2312"/>
          <w:szCs w:val="32"/>
          <w:lang w:val="en-US" w:eastAsia="zh-CN"/>
        </w:rPr>
        <w:t>普法宣传项目开展</w:t>
      </w:r>
      <w:r>
        <w:rPr>
          <w:rFonts w:hint="eastAsia" w:ascii="仿宋_GB2312" w:hAnsi="仿宋_GB2312" w:cs="仿宋_GB2312"/>
          <w:szCs w:val="32"/>
        </w:rPr>
        <w:t>情况、参与活动等，评价方法多元化，标准明确。</w:t>
      </w:r>
    </w:p>
    <w:p w14:paraId="78514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（</w:t>
      </w:r>
      <w:r>
        <w:rPr>
          <w:rFonts w:hint="eastAsia" w:ascii="方正公文楷体" w:hAnsi="方正公文楷体" w:eastAsia="方正公文楷体" w:cs="方正公文楷体"/>
          <w:szCs w:val="32"/>
          <w:lang w:val="en-US" w:eastAsia="zh-CN"/>
        </w:rPr>
        <w:t>三</w:t>
      </w: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）</w:t>
      </w:r>
      <w:r>
        <w:rPr>
          <w:rFonts w:hint="eastAsia" w:ascii="方正公文楷体" w:hAnsi="方正公文楷体" w:eastAsia="方正公文楷体" w:cs="方正公文楷体"/>
          <w:szCs w:val="32"/>
        </w:rPr>
        <w:t>绩效评价工作过程。</w:t>
      </w:r>
    </w:p>
    <w:p w14:paraId="01D7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评价工作分阶段进行，包括数据收集、分析、报告撰写等环节，确保评价全面准确。</w:t>
      </w:r>
    </w:p>
    <w:p w14:paraId="5BE05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三、综合评价情况及评价结论</w:t>
      </w:r>
    </w:p>
    <w:p w14:paraId="507B9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本期项目实施后，各项指标均达到预期效益目标。我市2025年法治宣传工作成绩突出。2025年，淮南市全力攻坚“八五”普法规划收官战，以习近平法治思想为指引，深入落实《法治宣传教育法》，全民普法出新招、亮实招、用硬招，普法服务与依法治理成效显著，为全市高质量发展筑牢法治根基、注入强劲动能。</w:t>
      </w:r>
    </w:p>
    <w:p w14:paraId="47E34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四、绩效评价指标分析</w:t>
      </w:r>
    </w:p>
    <w:p w14:paraId="758A7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（一）项目决策情况。</w:t>
      </w:r>
    </w:p>
    <w:p w14:paraId="7568A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项目决策合理，符合全市人民群众</w:t>
      </w:r>
      <w:r>
        <w:rPr>
          <w:rFonts w:hint="eastAsia" w:ascii="仿宋_GB2312" w:hAnsi="仿宋_GB2312" w:cs="仿宋_GB2312"/>
          <w:szCs w:val="32"/>
          <w:lang w:val="en-US" w:eastAsia="zh-CN"/>
        </w:rPr>
        <w:t>接受普法教育的</w:t>
      </w:r>
      <w:r>
        <w:rPr>
          <w:rFonts w:hint="eastAsia" w:ascii="仿宋_GB2312" w:hAnsi="仿宋_GB2312" w:cs="仿宋_GB2312"/>
          <w:szCs w:val="32"/>
        </w:rPr>
        <w:t>需求，满足各行业各领域</w:t>
      </w:r>
      <w:r>
        <w:rPr>
          <w:rFonts w:hint="eastAsia" w:ascii="仿宋_GB2312" w:hAnsi="仿宋_GB2312" w:cs="仿宋_GB2312"/>
          <w:szCs w:val="32"/>
          <w:lang w:val="en-US" w:eastAsia="zh-CN"/>
        </w:rPr>
        <w:t>接受</w:t>
      </w:r>
      <w:r>
        <w:rPr>
          <w:rFonts w:hint="eastAsia" w:ascii="仿宋_GB2312" w:hAnsi="仿宋_GB2312" w:cs="仿宋_GB2312"/>
          <w:szCs w:val="32"/>
        </w:rPr>
        <w:t>法治宣传教育</w:t>
      </w:r>
      <w:r>
        <w:rPr>
          <w:rFonts w:hint="eastAsia" w:ascii="仿宋_GB2312" w:hAnsi="仿宋_GB2312" w:cs="仿宋_GB2312"/>
          <w:szCs w:val="32"/>
          <w:lang w:val="en-US" w:eastAsia="zh-CN"/>
        </w:rPr>
        <w:t>的需要</w:t>
      </w:r>
      <w:r>
        <w:rPr>
          <w:rFonts w:hint="eastAsia" w:ascii="仿宋_GB2312" w:hAnsi="仿宋_GB2312" w:cs="仿宋_GB2312"/>
          <w:szCs w:val="32"/>
        </w:rPr>
        <w:t>。</w:t>
      </w:r>
    </w:p>
    <w:p w14:paraId="6929C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（二）项目过程情况。</w:t>
      </w:r>
    </w:p>
    <w:p w14:paraId="7CEB0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项目过程实施有序，各项工作顺利有效推进实施。</w:t>
      </w:r>
    </w:p>
    <w:p w14:paraId="51CC6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</w:rPr>
        <w:t>（三）项目产出情况。</w:t>
      </w:r>
    </w:p>
    <w:p w14:paraId="03738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项目产出有效，通过扎实推进全市法治文化阵地建设，为全市积极营造尊法学法守法用法的良好社会氛围，发挥</w:t>
      </w:r>
      <w:r>
        <w:rPr>
          <w:rFonts w:hint="eastAsia" w:ascii="仿宋_GB2312" w:hAnsi="仿宋_GB2312" w:cs="仿宋_GB2312"/>
          <w:szCs w:val="32"/>
          <w:lang w:val="en-US" w:eastAsia="zh-CN"/>
        </w:rPr>
        <w:t>法治宣传教育</w:t>
      </w:r>
      <w:r>
        <w:rPr>
          <w:rFonts w:hint="eastAsia" w:ascii="仿宋_GB2312" w:hAnsi="仿宋_GB2312" w:cs="仿宋_GB2312"/>
          <w:szCs w:val="32"/>
        </w:rPr>
        <w:t>作用。</w:t>
      </w:r>
    </w:p>
    <w:p w14:paraId="6AC86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公文楷体" w:hAnsi="方正公文楷体" w:eastAsia="方正公文楷体" w:cs="方正公文楷体"/>
          <w:szCs w:val="32"/>
        </w:rPr>
      </w:pP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（</w:t>
      </w:r>
      <w:r>
        <w:rPr>
          <w:rFonts w:hint="eastAsia" w:ascii="方正公文楷体" w:hAnsi="方正公文楷体" w:eastAsia="方正公文楷体" w:cs="方正公文楷体"/>
          <w:szCs w:val="32"/>
          <w:lang w:val="en-US" w:eastAsia="zh-CN"/>
        </w:rPr>
        <w:t>四</w:t>
      </w:r>
      <w:r>
        <w:rPr>
          <w:rFonts w:hint="eastAsia" w:ascii="方正公文楷体" w:hAnsi="方正公文楷体" w:eastAsia="方正公文楷体" w:cs="方正公文楷体"/>
          <w:szCs w:val="32"/>
          <w:lang w:eastAsia="zh-CN"/>
        </w:rPr>
        <w:t>）</w:t>
      </w:r>
      <w:r>
        <w:rPr>
          <w:rFonts w:hint="eastAsia" w:ascii="方正公文楷体" w:hAnsi="方正公文楷体" w:eastAsia="方正公文楷体" w:cs="方正公文楷体"/>
          <w:szCs w:val="32"/>
        </w:rPr>
        <w:t>项目效益情况。</w:t>
      </w:r>
    </w:p>
    <w:p w14:paraId="0682B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项目效益显著，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Cs w:val="32"/>
        </w:rPr>
        <w:t>全民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尊</w:t>
      </w:r>
      <w:r>
        <w:rPr>
          <w:rFonts w:hint="eastAsia" w:ascii="仿宋_GB2312" w:hAnsi="仿宋_GB2312" w:eastAsia="仿宋_GB2312" w:cs="仿宋_GB2312"/>
          <w:szCs w:val="32"/>
        </w:rPr>
        <w:t>法学法守法用法以及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Cs w:val="32"/>
        </w:rPr>
        <w:t>全市公民的法律素养</w:t>
      </w:r>
      <w:r>
        <w:rPr>
          <w:rFonts w:hint="eastAsia" w:ascii="仿宋_GB2312" w:hAnsi="仿宋_GB2312" w:eastAsia="仿宋_GB2312" w:cs="仿宋_GB2312"/>
          <w:szCs w:val="32"/>
        </w:rPr>
        <w:t>具有明显的促进作用，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Cs w:val="32"/>
        </w:rPr>
        <w:t>推进法治淮南建设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Cs w:val="32"/>
          <w:lang w:val="en-US" w:eastAsia="zh-CN"/>
        </w:rPr>
        <w:t>具有重要的</w:t>
      </w:r>
      <w:r>
        <w:rPr>
          <w:rFonts w:hint="eastAsia" w:ascii="仿宋_GB2312" w:hAnsi="仿宋_GB2312" w:eastAsia="仿宋_GB2312" w:cs="仿宋_GB2312"/>
          <w:szCs w:val="32"/>
        </w:rPr>
        <w:t>推动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作用。法治宣传教育工作实效性进一步增强，依法治理逐步深化，全民法治观念明显增强，全社会厉行法治的积极性和主动性明显提高，守法光荣、违法可耻的社会氛围基本形成。</w:t>
      </w:r>
    </w:p>
    <w:p w14:paraId="4C590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五、主要经验及做法</w:t>
      </w:r>
    </w:p>
    <w:p w14:paraId="4AEBA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聚焦重点人群，提升全民法治素养。紧盯“关键少数”，市政府党组会等学法34次，连续9年编印“一月一法”手册，市委党校将法治思想纳入必修课，培训437人次。组织国家工作人员旁听庭审40余场，77家市直单位落实普法责任制，58人现场述法、394人书面述法，新提拔及新招录公职人员开展宪法宣誓。深耕青少年普法，组建48人未成年人普法讲师团，构建“一人一专长”授课体系。举办青少年法治情景剧大赛，542名法治副校长入校开展活动1500余场，13个校内外法治基地开展实践500余场，护航青少年健康成长。</w:t>
      </w:r>
    </w:p>
    <w:p w14:paraId="6E5B8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深化新法宣传，推动普法走深走实。全国首创宪法宣传周暨《法治宣传教育法》实施专场法治音乐会，普法40年参与者共忆普法历程。举办市级普法业务技能竞赛，组织77名副县级干部新法测试，实现“八五”普法抽考全覆盖。开展线上线下专题宣传，赠送法治书籍压实普法责任，推动新法宣传落地见效。</w:t>
      </w:r>
    </w:p>
    <w:p w14:paraId="62BA9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厚植法治文化，夯实文化阵地建设。升级法治文化阵地，发挥10个国家级、73个省级民主法治示范村（社区）引领作用，推进闫湖村等创建全国示范村。法治文化馆新增非遗法治展区，更新网络普法等板块，带动全市50余处阵地焕新。繁荣法治文艺，以音乐会融合诗朗诵、快板等形式，推动传统法律文化传承发展。</w:t>
      </w:r>
    </w:p>
    <w:p w14:paraId="678E1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强化依法治企，护航营商环境优化。构建“四位一体”安商普法格局，编制普法服务清单手册。开展“民法典宣传月”进园区活动，提供精准法律服务。实施“法律服务进万企”，出具法治体检报告165份，开展宣讲312场、培训204次，惠及企业180家。涉企部门开展活动500余场，政务新媒体推送普法内容400余条，助力企业合规经营。</w:t>
      </w:r>
    </w:p>
    <w:p w14:paraId="259E1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建强普法队伍，拓宽普法传播渠道。组建13支普法志愿服务队、14支讲师团，开展公益活动100余场。推进“法律明白人”培训全覆盖，举办市、县、乡三级培训100余场，400人参与网络培训。48家媒体落实公益普法责任，电视栏目全年播发稿件200余篇，“淮南普法”公众号推送案例220余期，公交、出租、楼宇大屏等载体实现法治宣传全覆盖。</w:t>
      </w:r>
    </w:p>
    <w:p w14:paraId="35E2C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工作成效亮点突出。相关工作获《法治日报》《中国普法》等平台专题报道，“百法百重”普法工程、普法夜市等品牌出圈。全国“学宪法 讲宪法”活动中斩获多项荣誉，护企实践案例入选全国示范典型，青少年法治文化作品获省级奖项11个，淮南普法影响力持续提升。紧盯“关键少数”，落实《淮南市人民政府学法制度》，2024年市政府党组会、理论学习中心组学习会、政府常务会议开展学法27次。连续8年会同市委组织部编印《淮南市“一月一法”学法手册》，以“自主学”“集中学”“授课学”方式落实领导干部应知应会法律法规规章清单制度。市委党校把习近平法治思想、宪法法律纳入主体班必修课、学员自学重点书目，通过专题面授、视频教学等多种形式培训学员429人。市委组织部带队巡考“12·4”国家宪法日副县级领导干部宪法法律知识测试抽考现场。组织开展国家工作人员旁听庭审活动78场次，3500余人参加旁听，有力提升依法决策、依法履职、依法行政能力。加强青少年法治宣传教育，全市707名法治副校长走进568 所学校开展“开学法治第一课”“法治同行 守护成长”“法润少年心守护‘未’蓝天空”等进校园普法专项活动800余场次。全市13个校内（外）青少年法治文化基地、20个法治教育资源教室，组织中小学师生开展生动法治实践近百余场。“心‘淮’法治，‘剧’说未来”淮南市举办2024年青少年法治情景剧大赛，用学生们听得懂的语言、接地气的方式，让青少年法治活动“剧”精彩！“蓝·天使”检察工作室城乡牵手“淮小童”周末玩趣营，“庭审现场”变“普法课堂”，普法志愿者们创新各类生动有趣的普法项目，让“沉浸式”的法治教育深入童心。淮南师范学院组织师生录制《宪法伴我们成长》主题MV，线上观看人数1万余人，唱响宪法主旋律。制定《全市推进“乡村振兴 精准普法”工程实施方案》，明确三大提升目标，明确具体举措，以满足群众法律需求为导向，从解决专业化人才供给、基层普法队伍保障、充实社会化普法力量等多方面，将法治专业人才向基层一线倾斜，高标准、多元化、全方位提升基层普法队伍专业素质。</w:t>
      </w:r>
    </w:p>
    <w:p w14:paraId="22374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坚持挖掘与创造，全力做好省级法治文化联系点工作，持续推动“豆娃说法”全国法治文化品牌，创造性转化、创新性发展。2024年立足法治文化创作“小切口”，从优化法治化营商环境“政务服务、贷款办理、公平竞争“入手，创作《豆娃说法之优化营商环境条例》，让法治文化与社会经济发展共融。项目化运作“1+X”动漫研发，创作《豆娃说法之未成年人网络保护条例》、《互联网信息服务深度合成管理规定》法治动漫，《关键信息基础设施安全保护条例》《网络信息内容生态治理规定》H5等豆娃网络普法系列作品。精心创作“豆娃说法”30个专属普法系列表情包上线全网，更多“接地气”“有意思”的“指尖普法”让普法更“有趣”。将法治文化阵地建设的触角向社区、乡村延伸，向规模化、阵地化发展，打造以田家庵区田东街道田电社区“豆娃说法”游园、寿县安丰塘镇大树村、寿蜀产业园、八公山乡大泉村为代表的新一批“文法交融”法治文化健身园、法治文化广场等宣传阵地。将法治文化阵地建设的触角向社区、乡村延伸，向规模化、阵地化发展，打造以田家庵区田东街道田电社区“豆娃说法”游园、寿县安丰塘镇大树村、寿蜀产业园、八公山乡大泉村为代表的新一批“文法交融”法治文化健身园、法治文化广场等宣传阵地。</w:t>
      </w:r>
    </w:p>
    <w:p w14:paraId="25AAC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黑体" w:cs="仿宋_GB2312"/>
          <w:szCs w:val="32"/>
          <w:lang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/>
          <w:szCs w:val="32"/>
        </w:rPr>
        <w:t>存在问题及</w:t>
      </w:r>
      <w:r>
        <w:rPr>
          <w:rFonts w:hint="eastAsia" w:ascii="黑体" w:hAnsi="黑体" w:eastAsia="黑体"/>
          <w:szCs w:val="32"/>
          <w:lang w:val="en-US" w:eastAsia="zh-CN"/>
        </w:rPr>
        <w:t>有关建议</w:t>
      </w:r>
    </w:p>
    <w:p w14:paraId="2271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1.全民法治能力素养有待提升，持续强化国家工作人员法治化水平；</w:t>
      </w:r>
    </w:p>
    <w:p w14:paraId="40084B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2.各行业各领导普法宣传活动开展不均衡，加大宣传力度； </w:t>
      </w:r>
    </w:p>
    <w:p w14:paraId="53C72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3.加大智慧普法设入不足，加大运营、创作；</w:t>
      </w:r>
    </w:p>
    <w:p w14:paraId="3652B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4.法治文化阵地建设存在不足，加强资金投入。</w:t>
      </w:r>
    </w:p>
    <w:p w14:paraId="6C0A5A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val="en-US" w:eastAsia="zh-CN"/>
        </w:rPr>
        <w:t>七、</w:t>
      </w:r>
      <w:r>
        <w:rPr>
          <w:rFonts w:hint="eastAsia" w:ascii="黑体" w:hAnsi="黑体" w:eastAsia="黑体"/>
          <w:szCs w:val="32"/>
        </w:rPr>
        <w:t>其他需要说明的问题</w:t>
      </w:r>
    </w:p>
    <w:p w14:paraId="30C6A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无。</w:t>
      </w:r>
    </w:p>
    <w:p w14:paraId="39D5E6D6">
      <w:pPr>
        <w:spacing w:line="600" w:lineRule="exact"/>
        <w:rPr>
          <w:rFonts w:hint="eastAsia" w:ascii="仿宋_GB2312" w:hAnsi="仿宋_GB2312" w:cs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楷体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YWJkZDk1OGMxYjdkMmFhOTBkYWE5NzRlMTg3ZTEifQ=="/>
  </w:docVars>
  <w:rsids>
    <w:rsidRoot w:val="62A945D3"/>
    <w:rsid w:val="001E5155"/>
    <w:rsid w:val="00760C60"/>
    <w:rsid w:val="007817B5"/>
    <w:rsid w:val="00DC4FDB"/>
    <w:rsid w:val="00E05888"/>
    <w:rsid w:val="019555FA"/>
    <w:rsid w:val="02F70D3E"/>
    <w:rsid w:val="04B0485B"/>
    <w:rsid w:val="07506C6F"/>
    <w:rsid w:val="09356913"/>
    <w:rsid w:val="0A3561A3"/>
    <w:rsid w:val="0AE20526"/>
    <w:rsid w:val="0BFB0716"/>
    <w:rsid w:val="0C9D2956"/>
    <w:rsid w:val="0D5D5C42"/>
    <w:rsid w:val="0F4515E9"/>
    <w:rsid w:val="11020FDA"/>
    <w:rsid w:val="12BC340B"/>
    <w:rsid w:val="15A703A2"/>
    <w:rsid w:val="15A946F2"/>
    <w:rsid w:val="163D4862"/>
    <w:rsid w:val="16641682"/>
    <w:rsid w:val="18185587"/>
    <w:rsid w:val="1CE43C8A"/>
    <w:rsid w:val="1CEB3178"/>
    <w:rsid w:val="1E4F15D7"/>
    <w:rsid w:val="1F845C8A"/>
    <w:rsid w:val="21E64000"/>
    <w:rsid w:val="22A16179"/>
    <w:rsid w:val="22CA76A3"/>
    <w:rsid w:val="240B2444"/>
    <w:rsid w:val="267E514F"/>
    <w:rsid w:val="270311B0"/>
    <w:rsid w:val="28862099"/>
    <w:rsid w:val="28F45255"/>
    <w:rsid w:val="2A1B0BED"/>
    <w:rsid w:val="2BCF3D57"/>
    <w:rsid w:val="2E460B66"/>
    <w:rsid w:val="33925D96"/>
    <w:rsid w:val="35305866"/>
    <w:rsid w:val="36E92932"/>
    <w:rsid w:val="376B702A"/>
    <w:rsid w:val="382316B2"/>
    <w:rsid w:val="38BB1A12"/>
    <w:rsid w:val="3B3B4F65"/>
    <w:rsid w:val="3BB70A8F"/>
    <w:rsid w:val="3E7107E0"/>
    <w:rsid w:val="3F1B30E3"/>
    <w:rsid w:val="3F6179A8"/>
    <w:rsid w:val="3F710BC5"/>
    <w:rsid w:val="3FE74FDB"/>
    <w:rsid w:val="414032D5"/>
    <w:rsid w:val="42F8373B"/>
    <w:rsid w:val="43266B0A"/>
    <w:rsid w:val="438020AF"/>
    <w:rsid w:val="44010195"/>
    <w:rsid w:val="4473751E"/>
    <w:rsid w:val="465A3FC4"/>
    <w:rsid w:val="469B4A83"/>
    <w:rsid w:val="47A3636C"/>
    <w:rsid w:val="4AA157F8"/>
    <w:rsid w:val="4ABA4261"/>
    <w:rsid w:val="4B3774F7"/>
    <w:rsid w:val="4B663938"/>
    <w:rsid w:val="4BB603B0"/>
    <w:rsid w:val="4CC34DBA"/>
    <w:rsid w:val="502A3ECF"/>
    <w:rsid w:val="52F45CCD"/>
    <w:rsid w:val="53DD0E57"/>
    <w:rsid w:val="54212AF2"/>
    <w:rsid w:val="545D78A2"/>
    <w:rsid w:val="55A27C63"/>
    <w:rsid w:val="588B2C30"/>
    <w:rsid w:val="59047E6B"/>
    <w:rsid w:val="5A81078E"/>
    <w:rsid w:val="5CA1419D"/>
    <w:rsid w:val="5CDA0D5C"/>
    <w:rsid w:val="5DA12EF6"/>
    <w:rsid w:val="5DD24E5D"/>
    <w:rsid w:val="5F7F2DC3"/>
    <w:rsid w:val="5FDB2F35"/>
    <w:rsid w:val="60C34F31"/>
    <w:rsid w:val="62600C89"/>
    <w:rsid w:val="62A768B8"/>
    <w:rsid w:val="62A945D3"/>
    <w:rsid w:val="62B1036B"/>
    <w:rsid w:val="63512C8F"/>
    <w:rsid w:val="64C9520C"/>
    <w:rsid w:val="66E25141"/>
    <w:rsid w:val="693C3AD3"/>
    <w:rsid w:val="69FB573C"/>
    <w:rsid w:val="6AF40B09"/>
    <w:rsid w:val="6F164DA9"/>
    <w:rsid w:val="716F2C97"/>
    <w:rsid w:val="72295B67"/>
    <w:rsid w:val="72B862CF"/>
    <w:rsid w:val="79B323B0"/>
    <w:rsid w:val="7A936257"/>
    <w:rsid w:val="7AAD65DE"/>
    <w:rsid w:val="7BE97AEA"/>
    <w:rsid w:val="7D056BA5"/>
    <w:rsid w:val="7D553689"/>
    <w:rsid w:val="7E40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eastAsia="宋体"/>
    </w:rPr>
  </w:style>
  <w:style w:type="paragraph" w:styleId="3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2">
    <w:name w:val="font12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6">
    <w:name w:val="页眉 Char"/>
    <w:basedOn w:val="9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3918</Words>
  <Characters>4017</Characters>
  <Lines>125</Lines>
  <Paragraphs>35</Paragraphs>
  <TotalTime>24</TotalTime>
  <ScaleCrop>false</ScaleCrop>
  <LinksUpToDate>false</LinksUpToDate>
  <CharactersWithSpaces>4024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2024-07-25T01:15:00Z</dcterms:created>
  <dc:creator>雨萌</dc:creator>
  <cp:lastModifiedBy>卡夫卡</cp:lastModifiedBy>
  <dcterms:modified xsi:type="dcterms:W3CDTF">2026-08-06T00:49:15Z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F985B1E6F7744D9F9AABC2D3C4A0BFBF_13</vt:lpwstr>
  </property>
  <property fmtid="{D5CDD505-2E9C-101B-9397-08002B2CF9AE}" pid="4" name="KSOTemplateDocerSaveRecord">
    <vt:lpwstr>eyJoZGlkIjoiNTA2MjQ3NzBhMDc1NGY3ZWIzOWRjMjFlMWIyNGQ0NTQiLCJ1c2VySWQiOiI1NDU0MjQ4MDcifQ==</vt:lpwstr>
  </property>
</Properties>
</file>