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0C769">
      <w:pPr>
        <w:rPr>
          <w:rFonts w:ascii="黑体" w:hAnsi="黑体" w:eastAsia="黑体" w:cs="黑体"/>
          <w:bCs/>
          <w:szCs w:val="32"/>
        </w:rPr>
      </w:pPr>
    </w:p>
    <w:p w14:paraId="20003210">
      <w:pPr>
        <w:jc w:val="center"/>
        <w:rPr>
          <w:rFonts w:ascii="宋体" w:hAnsi="宋体"/>
          <w:b/>
          <w:sz w:val="36"/>
          <w:szCs w:val="36"/>
        </w:rPr>
      </w:pPr>
      <w:r>
        <w:rPr>
          <w:rFonts w:hint="eastAsia" w:ascii="宋体" w:hAnsi="宋体"/>
          <w:b/>
          <w:sz w:val="36"/>
          <w:szCs w:val="36"/>
        </w:rPr>
        <w:t>淮南市司法局法制研究中心2025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678A3F6C">
      <w:pPr>
        <w:jc w:val="center"/>
        <w:rPr>
          <w:rFonts w:ascii="楷体_GB2312" w:eastAsia="楷体_GB2312"/>
          <w:szCs w:val="32"/>
        </w:rPr>
      </w:pPr>
    </w:p>
    <w:p w14:paraId="76EE09DD">
      <w:pPr>
        <w:rPr>
          <w:rFonts w:ascii="黑体" w:hAnsi="黑体" w:eastAsia="黑体"/>
          <w:szCs w:val="32"/>
        </w:rPr>
      </w:pPr>
      <w:r>
        <w:rPr>
          <w:rFonts w:hint="eastAsia" w:ascii="黑体" w:hAnsi="黑体" w:eastAsia="黑体"/>
          <w:szCs w:val="32"/>
        </w:rPr>
        <w:t xml:space="preserve">    一、2025年度一般公共预算财政拨款“三公”经费支出决算表</w:t>
      </w:r>
    </w:p>
    <w:p w14:paraId="57F87CAA">
      <w:pPr>
        <w:ind w:firstLine="7216" w:firstLineChars="2298"/>
        <w:rPr>
          <w:rFonts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08677AEA">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vAlign w:val="center"/>
          </w:tcPr>
          <w:p w14:paraId="08045FF0">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vAlign w:val="center"/>
          </w:tcPr>
          <w:p w14:paraId="7F836257">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vAlign w:val="center"/>
          </w:tcPr>
          <w:p w14:paraId="791B2EF2">
            <w:pPr>
              <w:widowControl/>
              <w:jc w:val="center"/>
              <w:rPr>
                <w:rFonts w:ascii="宋体" w:hAnsi="宋体" w:cs="宋体"/>
                <w:b/>
                <w:bCs/>
                <w:kern w:val="0"/>
                <w:szCs w:val="21"/>
              </w:rPr>
            </w:pPr>
            <w:r>
              <w:rPr>
                <w:rFonts w:hint="eastAsia" w:ascii="宋体" w:hAnsi="宋体" w:cs="宋体"/>
                <w:b/>
                <w:bCs/>
                <w:kern w:val="0"/>
                <w:szCs w:val="21"/>
              </w:rPr>
              <w:t>决 算 数</w:t>
            </w:r>
          </w:p>
        </w:tc>
      </w:tr>
      <w:tr w14:paraId="5700EA8E">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vAlign w:val="center"/>
          </w:tcPr>
          <w:p w14:paraId="160BF6F0">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vAlign w:val="center"/>
          </w:tcPr>
          <w:p w14:paraId="1C0348FB">
            <w:pPr>
              <w:widowControl/>
              <w:jc w:val="center"/>
              <w:rPr>
                <w:rFonts w:ascii="宋体" w:hAnsi="宋体" w:cs="宋体"/>
                <w:b/>
                <w:bCs/>
                <w:kern w:val="0"/>
                <w:szCs w:val="21"/>
              </w:rPr>
            </w:pPr>
            <w:r>
              <w:rPr>
                <w:rFonts w:hint="eastAsia" w:ascii="宋体" w:hAnsi="宋体" w:cs="宋体"/>
                <w:b/>
                <w:bCs/>
                <w:kern w:val="0"/>
                <w:szCs w:val="21"/>
              </w:rPr>
              <w:t>　0</w:t>
            </w:r>
          </w:p>
        </w:tc>
        <w:tc>
          <w:tcPr>
            <w:tcW w:w="2220" w:type="dxa"/>
            <w:tcBorders>
              <w:top w:val="nil"/>
              <w:left w:val="nil"/>
              <w:bottom w:val="single" w:color="auto" w:sz="4" w:space="0"/>
              <w:right w:val="single" w:color="auto" w:sz="4" w:space="0"/>
            </w:tcBorders>
            <w:vAlign w:val="center"/>
          </w:tcPr>
          <w:p w14:paraId="360C0D37">
            <w:pPr>
              <w:widowControl/>
              <w:jc w:val="center"/>
              <w:rPr>
                <w:rFonts w:ascii="宋体" w:hAnsi="宋体" w:cs="宋体"/>
                <w:b/>
                <w:bCs/>
                <w:kern w:val="0"/>
                <w:szCs w:val="21"/>
              </w:rPr>
            </w:pPr>
            <w:r>
              <w:rPr>
                <w:rFonts w:hint="eastAsia" w:ascii="宋体" w:hAnsi="宋体" w:cs="宋体"/>
                <w:b/>
                <w:bCs/>
                <w:kern w:val="0"/>
                <w:szCs w:val="21"/>
              </w:rPr>
              <w:t>0　</w:t>
            </w:r>
          </w:p>
        </w:tc>
      </w:tr>
      <w:tr w14:paraId="0DEAA429">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vAlign w:val="center"/>
          </w:tcPr>
          <w:p w14:paraId="6C609574">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vAlign w:val="bottom"/>
          </w:tcPr>
          <w:p w14:paraId="329C6089">
            <w:pPr>
              <w:widowControl/>
              <w:jc w:val="left"/>
              <w:rPr>
                <w:rFonts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vAlign w:val="bottom"/>
          </w:tcPr>
          <w:p w14:paraId="4F30D842">
            <w:pPr>
              <w:widowControl/>
              <w:jc w:val="left"/>
              <w:rPr>
                <w:rFonts w:ascii="宋体" w:hAnsi="宋体" w:cs="宋体"/>
                <w:kern w:val="0"/>
                <w:szCs w:val="21"/>
              </w:rPr>
            </w:pPr>
            <w:r>
              <w:rPr>
                <w:rFonts w:hint="eastAsia" w:ascii="宋体" w:hAnsi="宋体" w:cs="宋体"/>
                <w:kern w:val="0"/>
                <w:szCs w:val="21"/>
              </w:rPr>
              <w:t>　0</w:t>
            </w:r>
          </w:p>
        </w:tc>
      </w:tr>
      <w:tr w14:paraId="7E7B60C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vAlign w:val="center"/>
          </w:tcPr>
          <w:p w14:paraId="16926566">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vAlign w:val="bottom"/>
          </w:tcPr>
          <w:p w14:paraId="2807DD38">
            <w:pPr>
              <w:widowControl/>
              <w:jc w:val="left"/>
              <w:rPr>
                <w:rFonts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vAlign w:val="bottom"/>
          </w:tcPr>
          <w:p w14:paraId="48FA60E7">
            <w:pPr>
              <w:widowControl/>
              <w:jc w:val="left"/>
              <w:rPr>
                <w:rFonts w:ascii="宋体" w:hAnsi="宋体" w:cs="宋体"/>
                <w:kern w:val="0"/>
                <w:szCs w:val="21"/>
              </w:rPr>
            </w:pPr>
            <w:r>
              <w:rPr>
                <w:rFonts w:hint="eastAsia" w:ascii="宋体" w:hAnsi="宋体" w:cs="宋体"/>
                <w:kern w:val="0"/>
                <w:szCs w:val="21"/>
              </w:rPr>
              <w:t>　0</w:t>
            </w:r>
          </w:p>
        </w:tc>
      </w:tr>
      <w:tr w14:paraId="50C48313">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vAlign w:val="center"/>
          </w:tcPr>
          <w:p w14:paraId="4297FBFA">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vAlign w:val="bottom"/>
          </w:tcPr>
          <w:p w14:paraId="7E5FD5A5">
            <w:pPr>
              <w:widowControl/>
              <w:jc w:val="left"/>
              <w:rPr>
                <w:rFonts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vAlign w:val="bottom"/>
          </w:tcPr>
          <w:p w14:paraId="33432773">
            <w:pPr>
              <w:widowControl/>
              <w:jc w:val="left"/>
              <w:rPr>
                <w:rFonts w:ascii="宋体" w:hAnsi="宋体" w:cs="宋体"/>
                <w:kern w:val="0"/>
                <w:szCs w:val="21"/>
              </w:rPr>
            </w:pPr>
            <w:r>
              <w:rPr>
                <w:rFonts w:hint="eastAsia" w:ascii="宋体" w:hAnsi="宋体" w:cs="宋体"/>
                <w:kern w:val="0"/>
                <w:szCs w:val="21"/>
              </w:rPr>
              <w:t>　0</w:t>
            </w:r>
          </w:p>
        </w:tc>
      </w:tr>
      <w:tr w14:paraId="07CDAA8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vAlign w:val="center"/>
          </w:tcPr>
          <w:p w14:paraId="1933C306">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vAlign w:val="bottom"/>
          </w:tcPr>
          <w:p w14:paraId="5882480D">
            <w:pPr>
              <w:widowControl/>
              <w:jc w:val="left"/>
              <w:rPr>
                <w:rFonts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vAlign w:val="bottom"/>
          </w:tcPr>
          <w:p w14:paraId="321B1066">
            <w:pPr>
              <w:widowControl/>
              <w:jc w:val="left"/>
              <w:rPr>
                <w:rFonts w:ascii="宋体" w:hAnsi="宋体" w:cs="宋体"/>
                <w:kern w:val="0"/>
                <w:szCs w:val="21"/>
              </w:rPr>
            </w:pPr>
            <w:r>
              <w:rPr>
                <w:rFonts w:hint="eastAsia" w:ascii="宋体" w:hAnsi="宋体" w:cs="宋体"/>
                <w:kern w:val="0"/>
                <w:szCs w:val="21"/>
              </w:rPr>
              <w:t>　0</w:t>
            </w:r>
          </w:p>
        </w:tc>
      </w:tr>
      <w:tr w14:paraId="20018C63">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vAlign w:val="center"/>
          </w:tcPr>
          <w:p w14:paraId="6D0D8746">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vAlign w:val="bottom"/>
          </w:tcPr>
          <w:p w14:paraId="18C02627">
            <w:pPr>
              <w:widowControl/>
              <w:jc w:val="left"/>
              <w:rPr>
                <w:rFonts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vAlign w:val="bottom"/>
          </w:tcPr>
          <w:p w14:paraId="480F5E13">
            <w:pPr>
              <w:widowControl/>
              <w:jc w:val="left"/>
              <w:rPr>
                <w:rFonts w:ascii="宋体" w:hAnsi="宋体" w:cs="宋体"/>
                <w:kern w:val="0"/>
                <w:szCs w:val="21"/>
              </w:rPr>
            </w:pPr>
            <w:r>
              <w:rPr>
                <w:rFonts w:hint="eastAsia" w:ascii="宋体" w:hAnsi="宋体" w:cs="宋体"/>
                <w:kern w:val="0"/>
                <w:szCs w:val="21"/>
              </w:rPr>
              <w:t>　0</w:t>
            </w:r>
          </w:p>
        </w:tc>
      </w:tr>
    </w:tbl>
    <w:p w14:paraId="1C03C9D0">
      <w:pPr>
        <w:spacing w:line="300" w:lineRule="exact"/>
        <w:rPr>
          <w:rFonts w:ascii="仿宋_GB2312" w:hAnsi="仿宋"/>
          <w:sz w:val="21"/>
          <w:szCs w:val="21"/>
        </w:rPr>
      </w:pPr>
    </w:p>
    <w:p w14:paraId="62358E8D">
      <w:pPr>
        <w:spacing w:line="300" w:lineRule="exact"/>
        <w:rPr>
          <w:rFonts w:ascii="黑体" w:hAnsi="黑体" w:eastAsia="黑体"/>
          <w:szCs w:val="32"/>
        </w:rPr>
      </w:pPr>
      <w:r>
        <w:rPr>
          <w:rFonts w:hint="eastAsia" w:ascii="仿宋_GB2312" w:hAnsi="仿宋"/>
          <w:sz w:val="21"/>
          <w:szCs w:val="21"/>
        </w:rPr>
        <w:t xml:space="preserve">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 </w:t>
      </w:r>
      <w:r>
        <w:rPr>
          <w:rFonts w:hint="eastAsia" w:ascii="仿宋_GB2312" w:hAnsi="仿宋"/>
          <w:szCs w:val="32"/>
        </w:rPr>
        <w:t xml:space="preserve">  </w:t>
      </w:r>
      <w:r>
        <w:rPr>
          <w:rFonts w:hint="eastAsia" w:ascii="黑体" w:hAnsi="黑体" w:eastAsia="黑体"/>
          <w:szCs w:val="32"/>
        </w:rPr>
        <w:t xml:space="preserve">                                    </w:t>
      </w:r>
    </w:p>
    <w:p w14:paraId="54C5A10E">
      <w:pPr>
        <w:rPr>
          <w:rFonts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rPr>
        <w:t>2025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6A9A026B">
      <w:pPr>
        <w:ind w:firstLine="628" w:firstLineChars="200"/>
        <w:rPr>
          <w:rFonts w:ascii="仿宋_GB2312" w:hAnsi="仿宋"/>
          <w:b/>
          <w:szCs w:val="32"/>
        </w:rPr>
      </w:pPr>
      <w:r>
        <w:rPr>
          <w:rFonts w:hint="eastAsia" w:ascii="仿宋_GB2312" w:hAnsi="仿宋"/>
          <w:b/>
          <w:szCs w:val="32"/>
        </w:rPr>
        <w:t>（一）一般公共预算财政拨款“三公”经费支出决算总体情况说明。</w:t>
      </w:r>
    </w:p>
    <w:p w14:paraId="4D617E80">
      <w:pPr>
        <w:ind w:firstLine="628" w:firstLineChars="200"/>
        <w:rPr>
          <w:rFonts w:ascii="仿宋_GB2312" w:hAnsi="仿宋"/>
          <w:szCs w:val="32"/>
        </w:rPr>
      </w:pPr>
      <w:r>
        <w:rPr>
          <w:rFonts w:hint="eastAsia" w:ascii="仿宋_GB2312" w:hAnsi="仿宋"/>
          <w:szCs w:val="32"/>
        </w:rPr>
        <w:t>淮南市司法局法制研究中心2025年度一般公共预算财政拨款“三公”经费支出预算为0万元，支出决算为0万元，与2024</w:t>
      </w:r>
      <w:r>
        <w:rPr>
          <w:rFonts w:ascii="仿宋_GB2312" w:hAnsi="仿宋"/>
          <w:szCs w:val="32"/>
        </w:rPr>
        <w:t>年预算</w:t>
      </w:r>
      <w:r>
        <w:rPr>
          <w:rFonts w:hint="eastAsia" w:ascii="仿宋_GB2312" w:hAnsi="仿宋"/>
          <w:szCs w:val="32"/>
        </w:rPr>
        <w:t>相比无增减变化。</w:t>
      </w:r>
    </w:p>
    <w:p w14:paraId="63A36B7A">
      <w:pPr>
        <w:ind w:firstLine="628" w:firstLineChars="200"/>
        <w:rPr>
          <w:rFonts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1E81B788">
      <w:pPr>
        <w:ind w:firstLine="628" w:firstLineChars="200"/>
        <w:rPr>
          <w:rFonts w:ascii="仿宋_GB2312" w:hAnsi="仿宋"/>
          <w:szCs w:val="32"/>
        </w:rPr>
      </w:pPr>
      <w:r>
        <w:rPr>
          <w:rFonts w:hint="eastAsia" w:ascii="仿宋_GB2312" w:hAnsi="仿宋"/>
          <w:szCs w:val="32"/>
        </w:rPr>
        <w:t>淮南市司法局法制研究中心2025年度一般公共预算财政拨款“三公”经费支出决算中，因公出国（境）费支出决算0万元，占0%;公务接待费支出决算0万元，占0%；公务用车购置及运行维护费支出决算0万元，占0%。具体情况如下：</w:t>
      </w:r>
    </w:p>
    <w:p w14:paraId="639B0BFE">
      <w:pPr>
        <w:ind w:firstLine="628"/>
        <w:rPr>
          <w:rFonts w:ascii="仿宋_GB2312" w:hAnsi="仿宋"/>
          <w:szCs w:val="32"/>
        </w:rPr>
      </w:pPr>
      <w:r>
        <w:rPr>
          <w:rFonts w:hint="eastAsia" w:ascii="仿宋_GB2312" w:hAnsi="仿宋"/>
          <w:b/>
          <w:bCs/>
          <w:szCs w:val="32"/>
        </w:rPr>
        <w:t>1.因公出国（境）费</w:t>
      </w:r>
      <w:r>
        <w:rPr>
          <w:rFonts w:hint="eastAsia" w:ascii="仿宋_GB2312" w:hAnsi="仿宋"/>
          <w:szCs w:val="32"/>
        </w:rPr>
        <w:t>预算为0万元，支出决算为0万元；</w:t>
      </w:r>
      <w:r>
        <w:rPr>
          <w:rFonts w:hint="eastAsia" w:ascii="TimesNewRoman" w:hAnsi="TimesNewRoman" w:cs="TimesNewRoman"/>
          <w:color w:val="000000"/>
          <w:szCs w:val="32"/>
        </w:rPr>
        <w:t>与</w:t>
      </w:r>
      <w:r>
        <w:rPr>
          <w:rFonts w:hint="eastAsia" w:ascii="仿宋_GB2312" w:hAnsi="仿宋"/>
          <w:szCs w:val="32"/>
        </w:rPr>
        <w:t>2024</w:t>
      </w:r>
      <w:r>
        <w:rPr>
          <w:rFonts w:ascii="仿宋_GB2312" w:hAnsi="仿宋"/>
          <w:szCs w:val="32"/>
        </w:rPr>
        <w:t>年预算</w:t>
      </w:r>
      <w:r>
        <w:rPr>
          <w:rFonts w:hint="eastAsia" w:ascii="仿宋_GB2312" w:hAnsi="仿宋"/>
          <w:szCs w:val="32"/>
        </w:rPr>
        <w:t>相比无增减变化。经费使用严格按照淮南市财政局淮南市人民政府外事办公室关于印发《淮南市市直党政机关因公临时出国经费管理办法》的通知（淮财行政〔2014〕65号）、淮南市财政局关于转发《安徽省省直党政机关因公短期出国培训管理办法》的通知（淮财行政〔2015〕551号）等相关规定执行。</w:t>
      </w:r>
    </w:p>
    <w:p w14:paraId="2F5CA469">
      <w:pPr>
        <w:ind w:firstLine="628" w:firstLineChars="200"/>
        <w:rPr>
          <w:rFonts w:ascii="仿宋_GB2312" w:hAnsi="仿宋"/>
          <w:szCs w:val="32"/>
        </w:rPr>
      </w:pPr>
      <w:r>
        <w:rPr>
          <w:rFonts w:hint="eastAsia" w:ascii="仿宋_GB2312" w:hAnsi="仿宋"/>
          <w:b/>
          <w:bCs/>
          <w:szCs w:val="32"/>
        </w:rPr>
        <w:t>2.公务接待费</w:t>
      </w:r>
      <w:r>
        <w:rPr>
          <w:rFonts w:hint="eastAsia" w:ascii="仿宋_GB2312" w:hAnsi="仿宋"/>
          <w:szCs w:val="32"/>
        </w:rPr>
        <w:t>预算为0万元，支出决算为0万元；与2024</w:t>
      </w:r>
      <w:r>
        <w:rPr>
          <w:rFonts w:ascii="仿宋_GB2312" w:hAnsi="仿宋"/>
          <w:szCs w:val="32"/>
        </w:rPr>
        <w:t>年预算</w:t>
      </w:r>
      <w:r>
        <w:rPr>
          <w:rFonts w:hint="eastAsia" w:ascii="仿宋_GB2312" w:hAnsi="仿宋"/>
          <w:szCs w:val="32"/>
        </w:rPr>
        <w:t>相比无增减变化。经费使用</w:t>
      </w:r>
      <w:r>
        <w:rPr>
          <w:rFonts w:hint="eastAsia" w:ascii="仿宋_GB2312" w:hAnsi="仿宋"/>
          <w:szCs w:val="32"/>
          <w:lang w:val="en-US" w:eastAsia="zh-CN"/>
        </w:rPr>
        <w:t>深入贯彻中央八项规定精神</w:t>
      </w:r>
      <w:bookmarkStart w:id="0" w:name="_GoBack"/>
      <w:bookmarkEnd w:id="0"/>
      <w:r>
        <w:rPr>
          <w:rFonts w:hint="eastAsia" w:ascii="仿宋_GB2312" w:hAnsi="仿宋"/>
          <w:szCs w:val="32"/>
        </w:rPr>
        <w:t>，严格执行《党政机关厉行节约反对浪费条例》、《淮南市党政机关国内公务接待管理办法》（淮办发〔2024〕22号）、《淮南市机关事务管理局淮南市财政局关于进一步规范市内公务活动及相关费用收交管理的工作提示》（淮管〔2025〕18号）等相关规定。</w:t>
      </w:r>
    </w:p>
    <w:p w14:paraId="7A1A08A3">
      <w:pPr>
        <w:ind w:firstLine="628" w:firstLineChars="200"/>
        <w:rPr>
          <w:rFonts w:ascii="仿宋_GB2312"/>
        </w:rPr>
      </w:pPr>
      <w:r>
        <w:rPr>
          <w:rFonts w:hint="eastAsia" w:ascii="仿宋_GB2312" w:hAnsi="仿宋"/>
          <w:b/>
          <w:bCs/>
          <w:szCs w:val="32"/>
        </w:rPr>
        <w:t>3.公务用车购置及运行维护费</w:t>
      </w:r>
      <w:r>
        <w:rPr>
          <w:rFonts w:hint="eastAsia" w:ascii="仿宋_GB2312" w:hAnsi="仿宋"/>
          <w:szCs w:val="32"/>
        </w:rPr>
        <w:t>预算为0万元，支出决算为 0万元； 2025年没有安排公务用车购置费。公务用车运行维护费预算为0万元，支出决算为0万元；与2024</w:t>
      </w:r>
      <w:r>
        <w:rPr>
          <w:rFonts w:ascii="仿宋_GB2312" w:hAnsi="仿宋"/>
          <w:szCs w:val="32"/>
        </w:rPr>
        <w:t>年预算</w:t>
      </w:r>
      <w:r>
        <w:rPr>
          <w:rFonts w:hint="eastAsia" w:ascii="仿宋_GB2312" w:hAnsi="仿宋"/>
          <w:szCs w:val="32"/>
        </w:rPr>
        <w:t>相比无增减变化。截至2025年12月31日，淮南市司法局法制研究中心开支财政拨款的公务用车保有量为0辆。</w:t>
      </w:r>
    </w:p>
    <w:p w14:paraId="326CEE21">
      <w:pPr>
        <w:pStyle w:val="2"/>
        <w:ind w:left="1258" w:hanging="1258"/>
        <w:jc w:val="both"/>
        <w:rPr>
          <w:rFonts w:ascii="仿宋_GB2312" w:eastAsia="仿宋_GB2312"/>
          <w:sz w:val="32"/>
        </w:rPr>
      </w:pPr>
    </w:p>
    <w:p w14:paraId="52AA71E8">
      <w:pPr>
        <w:pStyle w:val="2"/>
        <w:ind w:left="1258" w:hanging="1258"/>
        <w:jc w:val="both"/>
        <w:rPr>
          <w:rFonts w:ascii="仿宋_GB2312" w:eastAsia="仿宋_GB2312"/>
          <w:sz w:val="32"/>
        </w:rPr>
      </w:pPr>
    </w:p>
    <w:p w14:paraId="23815529">
      <w:pPr>
        <w:pStyle w:val="2"/>
        <w:jc w:val="both"/>
      </w:pPr>
    </w:p>
    <w:p w14:paraId="6095BC5A"/>
    <w:sectPr>
      <w:footerReference r:id="rId3" w:type="default"/>
      <w:footerReference r:id="rId4" w:type="even"/>
      <w:pgSz w:w="11906" w:h="16838"/>
      <w:pgMar w:top="2155" w:right="1531" w:bottom="1588" w:left="1588" w:header="0" w:footer="1588" w:gutter="0"/>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imesNewRoman">
    <w:altName w:val="Traditional Arabic"/>
    <w:panose1 w:val="00000000000000000000"/>
    <w:charset w:val="00"/>
    <w:family w:val="auto"/>
    <w:pitch w:val="default"/>
    <w:sig w:usb0="00000000" w:usb1="00000000" w:usb2="00000029" w:usb3="00000000" w:csb0="600001FF" w:csb1="FFFF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889AC">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3</w:t>
    </w:r>
    <w:r>
      <w:rPr>
        <w:rFonts w:hint="eastAsia" w:ascii="仿宋_GB2312"/>
        <w:sz w:val="28"/>
        <w:szCs w:val="28"/>
      </w:rPr>
      <w:fldChar w:fldCharType="end"/>
    </w:r>
    <w:r>
      <w:rPr>
        <w:rStyle w:val="6"/>
        <w:rFonts w:hint="eastAsia" w:ascii="仿宋_GB2312"/>
        <w:sz w:val="28"/>
        <w:szCs w:val="28"/>
      </w:rPr>
      <w:t>-</w:t>
    </w:r>
  </w:p>
  <w:p w14:paraId="750995CC">
    <w:pPr>
      <w:pStyle w:val="3"/>
      <w:ind w:right="360"/>
      <w:jc w:val="right"/>
      <w:rPr>
        <w:rFonts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3F609">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14:paraId="31CE460E">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62596"/>
    <w:rsid w:val="00106F0E"/>
    <w:rsid w:val="001F27D2"/>
    <w:rsid w:val="00462596"/>
    <w:rsid w:val="00471A95"/>
    <w:rsid w:val="00984944"/>
    <w:rsid w:val="00A57F74"/>
    <w:rsid w:val="00AD187D"/>
    <w:rsid w:val="00E66EE0"/>
    <w:rsid w:val="00E720AC"/>
    <w:rsid w:val="00F36D7A"/>
    <w:rsid w:val="10457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
    <w:uiPriority w:val="0"/>
    <w:pPr>
      <w:jc w:val="center"/>
    </w:pPr>
    <w:rPr>
      <w:rFonts w:eastAsia="黑体"/>
      <w:sz w:val="36"/>
    </w:rPr>
  </w:style>
  <w:style w:type="paragraph" w:styleId="3">
    <w:name w:val="footer"/>
    <w:basedOn w:val="1"/>
    <w:link w:val="8"/>
    <w:qFormat/>
    <w:uiPriority w:val="0"/>
    <w:pPr>
      <w:tabs>
        <w:tab w:val="center" w:pos="4153"/>
        <w:tab w:val="right" w:pos="8306"/>
      </w:tabs>
      <w:snapToGrid w:val="0"/>
      <w:jc w:val="left"/>
    </w:pPr>
    <w:rPr>
      <w:sz w:val="18"/>
    </w:rPr>
  </w:style>
  <w:style w:type="character" w:styleId="6">
    <w:name w:val="page number"/>
    <w:basedOn w:val="5"/>
    <w:qFormat/>
    <w:uiPriority w:val="0"/>
  </w:style>
  <w:style w:type="character" w:customStyle="1" w:styleId="7">
    <w:name w:val="正文文本 Char"/>
    <w:basedOn w:val="5"/>
    <w:link w:val="2"/>
    <w:uiPriority w:val="0"/>
    <w:rPr>
      <w:rFonts w:ascii="Times New Roman" w:hAnsi="Times New Roman" w:eastAsia="黑体" w:cs="Times New Roman"/>
      <w:sz w:val="36"/>
      <w:szCs w:val="20"/>
    </w:rPr>
  </w:style>
  <w:style w:type="character" w:customStyle="1" w:styleId="8">
    <w:name w:val="页脚 Char"/>
    <w:basedOn w:val="5"/>
    <w:link w:val="3"/>
    <w:qFormat/>
    <w:uiPriority w:val="0"/>
    <w:rPr>
      <w:rFonts w:ascii="Times New Roman" w:hAnsi="Times New Roman" w:eastAsia="仿宋_GB2312" w:cs="Times New Roman"/>
      <w:sz w:val="1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947</Words>
  <Characters>1006</Characters>
  <Lines>8</Lines>
  <Paragraphs>2</Paragraphs>
  <TotalTime>0</TotalTime>
  <ScaleCrop>false</ScaleCrop>
  <LinksUpToDate>false</LinksUpToDate>
  <CharactersWithSpaces>1086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2025-07-22T02:55:00Z</dcterms:created>
  <dc:creator>Administrator</dc:creator>
  <cp:lastModifiedBy>卡夫卡</cp:lastModifiedBy>
  <dcterms:modified xsi:type="dcterms:W3CDTF">2026-08-06T07:09:14Z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eyJoZGlkIjoiNTA2MjQ3NzBhMDc1NGY3ZWIzOWRjMjFlMWIyNGQ0NTQiLCJ1c2VySWQiOiI1NDU0MjQ4MDcifQ==</vt:lpwstr>
  </property>
  <property fmtid="{D5CDD505-2E9C-101B-9397-08002B2CF9AE}" pid="3" name="KSOProductBuildVer">
    <vt:lpwstr>2052-12.1.0.28043</vt:lpwstr>
  </property>
  <property fmtid="{D5CDD505-2E9C-101B-9397-08002B2CF9AE}" pid="4" name="ICV">
    <vt:lpwstr>77E49CED374D445E902742A259C2D091_12</vt:lpwstr>
  </property>
</Properties>
</file>